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C6" w:rsidRDefault="006514C6" w:rsidP="009C3B69"/>
    <w:p w:rsidR="006514C6" w:rsidRDefault="006514C6" w:rsidP="009C3B69"/>
    <w:p w:rsidR="007035B4" w:rsidRPr="009C3B69" w:rsidRDefault="007035B4" w:rsidP="009C3B69"/>
    <w:p w:rsidR="00BE6FDB" w:rsidRPr="00232B9B" w:rsidRDefault="00BE6FDB" w:rsidP="005C4FD0">
      <w:pPr>
        <w:pStyle w:val="Title"/>
        <w:outlineLvl w:val="0"/>
        <w:rPr>
          <w:rFonts w:ascii="Bookman Old Style" w:hAnsi="Bookman Old Style"/>
          <w:b/>
          <w:bCs/>
          <w:color w:val="003366"/>
          <w:szCs w:val="32"/>
        </w:rPr>
      </w:pPr>
      <w:r w:rsidRPr="00232B9B">
        <w:rPr>
          <w:rFonts w:ascii="Bookman Old Style" w:hAnsi="Bookman Old Style"/>
          <w:color w:val="003366"/>
          <w:szCs w:val="32"/>
        </w:rPr>
        <w:t>REP</w:t>
      </w:r>
      <w:r w:rsidR="00232B9B" w:rsidRPr="00232B9B">
        <w:rPr>
          <w:rFonts w:ascii="Bookman Old Style" w:hAnsi="Bookman Old Style"/>
          <w:color w:val="003366"/>
          <w:szCs w:val="32"/>
        </w:rPr>
        <w:t>Ú</w:t>
      </w:r>
      <w:r w:rsidRPr="00232B9B">
        <w:rPr>
          <w:rFonts w:ascii="Bookman Old Style" w:hAnsi="Bookman Old Style"/>
          <w:color w:val="003366"/>
          <w:szCs w:val="32"/>
        </w:rPr>
        <w:t>BLICA DOMINICANA</w:t>
      </w:r>
    </w:p>
    <w:p w:rsidR="00BE6FDB" w:rsidRPr="00232B9B" w:rsidRDefault="00BE6FDB" w:rsidP="005C4FD0">
      <w:pPr>
        <w:pStyle w:val="Title"/>
        <w:outlineLvl w:val="0"/>
        <w:rPr>
          <w:rFonts w:ascii="Bookman Old Style" w:hAnsi="Bookman Old Style"/>
          <w:bCs/>
          <w:color w:val="003366"/>
          <w:sz w:val="24"/>
          <w:szCs w:val="24"/>
        </w:rPr>
      </w:pPr>
      <w:r w:rsidRPr="00232B9B">
        <w:rPr>
          <w:bCs/>
          <w:color w:val="003366"/>
          <w:sz w:val="24"/>
          <w:szCs w:val="24"/>
        </w:rPr>
        <w:t>MINISTERIO DE HACIENDA</w:t>
      </w:r>
    </w:p>
    <w:p w:rsidR="00BE6FDB" w:rsidRPr="00232B9B" w:rsidRDefault="00BE6FDB" w:rsidP="005C4FD0">
      <w:pPr>
        <w:pStyle w:val="Subtitle"/>
        <w:outlineLvl w:val="0"/>
        <w:rPr>
          <w:b/>
          <w:color w:val="003366"/>
          <w:sz w:val="28"/>
          <w:szCs w:val="28"/>
        </w:rPr>
      </w:pPr>
      <w:r w:rsidRPr="00232B9B">
        <w:rPr>
          <w:b/>
          <w:color w:val="003366"/>
          <w:sz w:val="28"/>
          <w:szCs w:val="28"/>
        </w:rPr>
        <w:t>SUPERINTENDENCIA DE SEGUROS</w:t>
      </w:r>
    </w:p>
    <w:p w:rsidR="00BE6FDB" w:rsidRPr="00232B9B" w:rsidRDefault="00BE6FDB" w:rsidP="00BE6FDB">
      <w:pPr>
        <w:rPr>
          <w:color w:val="003366"/>
        </w:rPr>
      </w:pPr>
    </w:p>
    <w:p w:rsidR="00BE6FDB" w:rsidRDefault="00BE6FDB" w:rsidP="00BE6FDB"/>
    <w:p w:rsidR="00BE6FDB" w:rsidRDefault="00BE6FDB" w:rsidP="00BE6FDB"/>
    <w:p w:rsidR="00BE6FDB" w:rsidRDefault="00BE6FDB" w:rsidP="00BE6FDB"/>
    <w:p w:rsidR="00BE6FDB" w:rsidRDefault="00BE6FDB" w:rsidP="00BE6FDB"/>
    <w:p w:rsidR="00BE6FDB" w:rsidRDefault="00BE6FDB" w:rsidP="00BE6FDB"/>
    <w:p w:rsidR="00BE6FDB" w:rsidRDefault="00BE6FDB" w:rsidP="00BE6FDB"/>
    <w:p w:rsidR="00BE6FDB" w:rsidRDefault="00BE6FDB" w:rsidP="00BE6FDB"/>
    <w:p w:rsidR="00BE6FDB" w:rsidRDefault="00BE6FDB" w:rsidP="00BE6FDB"/>
    <w:p w:rsidR="00BE6FDB" w:rsidRDefault="00BE6FDB" w:rsidP="00BE6FDB"/>
    <w:p w:rsidR="00BE6FDB" w:rsidRDefault="00BE6FDB" w:rsidP="00BE6FDB"/>
    <w:p w:rsidR="00BE6FDB" w:rsidRDefault="00BE6FDB" w:rsidP="00BE6FDB"/>
    <w:p w:rsidR="00BE6FDB" w:rsidRDefault="00BE6FDB" w:rsidP="00BE6FDB"/>
    <w:p w:rsidR="00BE6FDB" w:rsidRDefault="00BE6FDB" w:rsidP="00BE6FDB"/>
    <w:p w:rsidR="00BE6FDB" w:rsidRPr="002E0D98" w:rsidRDefault="00BE6FDB" w:rsidP="00BE6FDB"/>
    <w:p w:rsidR="00BE6FDB" w:rsidRPr="002E0D98" w:rsidRDefault="00BE6FDB" w:rsidP="00BE6FDB"/>
    <w:p w:rsidR="00BE6FDB" w:rsidRPr="002E0D98" w:rsidRDefault="00BE6FDB" w:rsidP="00BE6FDB"/>
    <w:p w:rsidR="00BE6FDB" w:rsidRDefault="00BE6FDB" w:rsidP="00BE6FDB"/>
    <w:p w:rsidR="00BE6FDB" w:rsidRDefault="00BE6FDB" w:rsidP="00BE6FDB"/>
    <w:p w:rsidR="00BE6FDB" w:rsidRDefault="00BE6FDB" w:rsidP="00BE6FDB"/>
    <w:p w:rsidR="00BE6FDB" w:rsidRPr="002E0D98" w:rsidRDefault="00BE6FDB" w:rsidP="00BE6FDB"/>
    <w:p w:rsidR="00BE6FDB" w:rsidRDefault="009A5CAB" w:rsidP="00BE6FDB">
      <w:r>
        <w:rPr>
          <w:noProof/>
          <w:lang w:eastAsia="es-DO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-1739900</wp:posOffset>
            </wp:positionV>
            <wp:extent cx="3566160" cy="3658870"/>
            <wp:effectExtent l="19050" t="0" r="0" b="0"/>
            <wp:wrapNone/>
            <wp:docPr id="10" name="Imagen 10" descr="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65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FDB" w:rsidRDefault="00BE6FDB" w:rsidP="00BE6FDB"/>
    <w:p w:rsidR="00BE6FDB" w:rsidRDefault="00BE6FDB" w:rsidP="00BE6FDB"/>
    <w:p w:rsidR="00BE6FDB" w:rsidRDefault="00BE6FDB" w:rsidP="00BE6FDB"/>
    <w:p w:rsidR="00BE6FDB" w:rsidRDefault="00BE6FDB" w:rsidP="00BE6FDB"/>
    <w:p w:rsidR="00BE6FDB" w:rsidRPr="002E0D98" w:rsidRDefault="00BE6FDB" w:rsidP="00BE6FDB"/>
    <w:p w:rsidR="00BE6FDB" w:rsidRPr="002E0D98" w:rsidRDefault="00BE6FDB" w:rsidP="00BE6FDB"/>
    <w:p w:rsidR="00BE6FDB" w:rsidRPr="002E0D98" w:rsidRDefault="00BE6FDB" w:rsidP="00BE6FDB"/>
    <w:p w:rsidR="00BE6FDB" w:rsidRPr="002E0D98" w:rsidRDefault="00BE6FDB" w:rsidP="00BE6FDB"/>
    <w:p w:rsidR="00BE6FDB" w:rsidRPr="002E0D98" w:rsidRDefault="00BE6FDB" w:rsidP="00BE6FDB"/>
    <w:p w:rsidR="00BE6FDB" w:rsidRPr="002E0D98" w:rsidRDefault="00BE6FDB" w:rsidP="00BE6FDB"/>
    <w:p w:rsidR="00BE6FDB" w:rsidRPr="002E0D98" w:rsidRDefault="00BE6FDB" w:rsidP="00BE6FDB"/>
    <w:p w:rsidR="00BE6FDB" w:rsidRPr="002E0D98" w:rsidRDefault="00BE6FDB" w:rsidP="00BE6FDB"/>
    <w:p w:rsidR="00BE6FDB" w:rsidRPr="002E0D98" w:rsidRDefault="00BE6FDB" w:rsidP="00BE6FDB"/>
    <w:p w:rsidR="00BE6FDB" w:rsidRPr="002E0D98" w:rsidRDefault="00BE6FDB" w:rsidP="00BE6FDB"/>
    <w:p w:rsidR="00BE6FDB" w:rsidRPr="002E0D98" w:rsidRDefault="00BE6FDB" w:rsidP="00BE6FDB"/>
    <w:p w:rsidR="00BE6FDB" w:rsidRPr="002E0D98" w:rsidRDefault="00BE6FDB" w:rsidP="00BE6FDB"/>
    <w:p w:rsidR="00BE6FDB" w:rsidRPr="002E0D98" w:rsidRDefault="00BE6FDB" w:rsidP="00BE6FDB"/>
    <w:p w:rsidR="00BE6FDB" w:rsidRDefault="00BE6FDB" w:rsidP="00BE6FDB"/>
    <w:p w:rsidR="00BE6FDB" w:rsidRDefault="00BE6FDB" w:rsidP="00BE6FDB"/>
    <w:p w:rsidR="00BE6FDB" w:rsidRDefault="00BE6FDB" w:rsidP="00BE6FDB"/>
    <w:p w:rsidR="00CD553F" w:rsidRDefault="00CD553F" w:rsidP="00BE6FDB">
      <w:pPr>
        <w:spacing w:line="480" w:lineRule="auto"/>
        <w:ind w:firstLine="709"/>
        <w:jc w:val="both"/>
      </w:pPr>
    </w:p>
    <w:p w:rsidR="00CD553F" w:rsidRDefault="00CD553F" w:rsidP="00BE6FDB">
      <w:pPr>
        <w:spacing w:line="480" w:lineRule="auto"/>
        <w:ind w:firstLine="709"/>
        <w:jc w:val="both"/>
      </w:pPr>
    </w:p>
    <w:p w:rsidR="00CD553F" w:rsidRPr="00EE5ABA" w:rsidRDefault="00CD553F" w:rsidP="00BE6FDB">
      <w:pPr>
        <w:spacing w:line="480" w:lineRule="auto"/>
        <w:ind w:firstLine="709"/>
        <w:jc w:val="both"/>
      </w:pPr>
    </w:p>
    <w:p w:rsidR="00BE6FDB" w:rsidRPr="00232B9B" w:rsidRDefault="00DE24FE" w:rsidP="005C4FD0">
      <w:pPr>
        <w:pStyle w:val="Title"/>
        <w:outlineLvl w:val="0"/>
        <w:rPr>
          <w:bCs/>
          <w:color w:val="003366"/>
          <w:sz w:val="36"/>
          <w:szCs w:val="36"/>
        </w:rPr>
      </w:pPr>
      <w:r>
        <w:rPr>
          <w:bCs/>
          <w:color w:val="003366"/>
          <w:sz w:val="36"/>
          <w:szCs w:val="36"/>
        </w:rPr>
        <w:t>MEMORIA ANUAL</w:t>
      </w:r>
    </w:p>
    <w:p w:rsidR="00BE6FDB" w:rsidRPr="00232B9B" w:rsidRDefault="00CB4BC4" w:rsidP="00BE6FDB">
      <w:pPr>
        <w:pStyle w:val="Title"/>
        <w:rPr>
          <w:color w:val="003366"/>
          <w:sz w:val="36"/>
          <w:szCs w:val="36"/>
        </w:rPr>
      </w:pPr>
      <w:r>
        <w:rPr>
          <w:bCs/>
          <w:color w:val="003366"/>
          <w:sz w:val="36"/>
          <w:szCs w:val="36"/>
        </w:rPr>
        <w:t>2018</w:t>
      </w:r>
    </w:p>
    <w:p w:rsidR="00BE6FDB" w:rsidRDefault="00BE6FDB" w:rsidP="00BE6FDB">
      <w:pPr>
        <w:tabs>
          <w:tab w:val="left" w:pos="3037"/>
        </w:tabs>
      </w:pPr>
    </w:p>
    <w:p w:rsidR="00BE6FDB" w:rsidRDefault="00BE6FDB" w:rsidP="00BE6FDB">
      <w:pPr>
        <w:tabs>
          <w:tab w:val="left" w:pos="3037"/>
        </w:tabs>
      </w:pPr>
    </w:p>
    <w:p w:rsidR="00BE6FDB" w:rsidRDefault="00BE6FDB" w:rsidP="00BE6FDB">
      <w:pPr>
        <w:tabs>
          <w:tab w:val="left" w:pos="3037"/>
        </w:tabs>
      </w:pPr>
    </w:p>
    <w:p w:rsidR="00BE6FDB" w:rsidRDefault="00BE6FDB" w:rsidP="00BE6FDB">
      <w:pPr>
        <w:tabs>
          <w:tab w:val="left" w:pos="3037"/>
        </w:tabs>
      </w:pPr>
    </w:p>
    <w:p w:rsidR="00BE6FDB" w:rsidRDefault="00BE6FDB" w:rsidP="00BE6FDB">
      <w:pPr>
        <w:tabs>
          <w:tab w:val="left" w:pos="3037"/>
        </w:tabs>
      </w:pPr>
    </w:p>
    <w:p w:rsidR="00BE6FDB" w:rsidRDefault="00BE6FDB" w:rsidP="00BE6FDB">
      <w:pPr>
        <w:tabs>
          <w:tab w:val="left" w:pos="3037"/>
        </w:tabs>
        <w:jc w:val="center"/>
        <w:rPr>
          <w:b/>
        </w:rPr>
      </w:pPr>
    </w:p>
    <w:p w:rsidR="00BE6FDB" w:rsidRDefault="00BE6FDB" w:rsidP="00BE6FDB">
      <w:pPr>
        <w:tabs>
          <w:tab w:val="left" w:pos="3037"/>
        </w:tabs>
        <w:jc w:val="center"/>
        <w:rPr>
          <w:b/>
        </w:rPr>
      </w:pPr>
    </w:p>
    <w:p w:rsidR="00BE6FDB" w:rsidRDefault="00BE6FDB" w:rsidP="00BE6FDB">
      <w:pPr>
        <w:tabs>
          <w:tab w:val="left" w:pos="3037"/>
        </w:tabs>
        <w:jc w:val="center"/>
        <w:rPr>
          <w:b/>
        </w:rPr>
      </w:pPr>
    </w:p>
    <w:p w:rsidR="00BE6FDB" w:rsidRDefault="00BE6FDB" w:rsidP="00BE6FDB">
      <w:pPr>
        <w:tabs>
          <w:tab w:val="left" w:pos="3037"/>
        </w:tabs>
        <w:jc w:val="center"/>
        <w:rPr>
          <w:b/>
        </w:rPr>
      </w:pPr>
    </w:p>
    <w:p w:rsidR="00BE6FDB" w:rsidRDefault="00BE6FDB" w:rsidP="00BE6FDB">
      <w:pPr>
        <w:tabs>
          <w:tab w:val="left" w:pos="3037"/>
        </w:tabs>
        <w:jc w:val="center"/>
        <w:rPr>
          <w:b/>
        </w:rPr>
      </w:pPr>
    </w:p>
    <w:p w:rsidR="00BE6FDB" w:rsidRPr="00210784" w:rsidRDefault="00BE6FDB" w:rsidP="005C4FD0">
      <w:pPr>
        <w:tabs>
          <w:tab w:val="left" w:pos="3037"/>
        </w:tabs>
        <w:jc w:val="center"/>
        <w:outlineLvl w:val="0"/>
        <w:rPr>
          <w:b/>
        </w:rPr>
      </w:pPr>
      <w:r w:rsidRPr="00210784">
        <w:rPr>
          <w:b/>
        </w:rPr>
        <w:t>Santo Domingo, D.N.</w:t>
      </w:r>
    </w:p>
    <w:p w:rsidR="00BE6FDB" w:rsidRPr="00210784" w:rsidRDefault="00BE6FDB" w:rsidP="00BE6FDB">
      <w:pPr>
        <w:tabs>
          <w:tab w:val="left" w:pos="3037"/>
        </w:tabs>
        <w:jc w:val="center"/>
        <w:rPr>
          <w:b/>
        </w:rPr>
      </w:pPr>
      <w:r>
        <w:rPr>
          <w:b/>
        </w:rPr>
        <w:t>201</w:t>
      </w:r>
      <w:r w:rsidR="00CB4BC4">
        <w:rPr>
          <w:b/>
        </w:rPr>
        <w:t>8</w:t>
      </w:r>
    </w:p>
    <w:p w:rsidR="006F1EBB" w:rsidRPr="006A7067" w:rsidRDefault="006F1EBB" w:rsidP="006A7067">
      <w:pPr>
        <w:rPr>
          <w:rFonts w:cstheme="minorHAnsi"/>
          <w:b/>
          <w:color w:val="FFFFFF" w:themeColor="background1"/>
          <w:sz w:val="48"/>
          <w:szCs w:val="48"/>
        </w:rPr>
      </w:pPr>
    </w:p>
    <w:p w:rsidR="006F1EBB" w:rsidRDefault="006F1EBB" w:rsidP="00BE6FDB">
      <w:pPr>
        <w:spacing w:before="100" w:beforeAutospacing="1" w:after="100" w:afterAutospacing="1" w:line="360" w:lineRule="auto"/>
        <w:jc w:val="center"/>
        <w:rPr>
          <w:b/>
          <w:bCs/>
          <w:color w:val="000000"/>
          <w:sz w:val="24"/>
          <w:szCs w:val="24"/>
        </w:rPr>
      </w:pPr>
    </w:p>
    <w:p w:rsidR="009C4AAA" w:rsidRDefault="009C4AAA" w:rsidP="00BE6FDB">
      <w:pPr>
        <w:spacing w:before="100" w:beforeAutospacing="1" w:after="100" w:afterAutospacing="1" w:line="360" w:lineRule="auto"/>
        <w:jc w:val="center"/>
        <w:rPr>
          <w:b/>
          <w:bCs/>
          <w:color w:val="000000"/>
          <w:sz w:val="24"/>
          <w:szCs w:val="24"/>
        </w:rPr>
      </w:pPr>
    </w:p>
    <w:p w:rsidR="009C4AAA" w:rsidRDefault="009C4AAA" w:rsidP="00BE6FDB">
      <w:pPr>
        <w:spacing w:before="100" w:beforeAutospacing="1" w:after="100" w:afterAutospacing="1" w:line="360" w:lineRule="auto"/>
        <w:jc w:val="center"/>
        <w:rPr>
          <w:b/>
          <w:bCs/>
          <w:color w:val="000000"/>
          <w:sz w:val="24"/>
          <w:szCs w:val="24"/>
        </w:rPr>
      </w:pPr>
    </w:p>
    <w:p w:rsidR="009C4AAA" w:rsidRDefault="009C4AAA" w:rsidP="00BE6FDB">
      <w:pPr>
        <w:spacing w:before="100" w:beforeAutospacing="1" w:after="100" w:afterAutospacing="1" w:line="360" w:lineRule="auto"/>
        <w:jc w:val="center"/>
        <w:rPr>
          <w:b/>
          <w:bCs/>
          <w:color w:val="000000"/>
          <w:sz w:val="24"/>
          <w:szCs w:val="24"/>
        </w:rPr>
      </w:pPr>
    </w:p>
    <w:p w:rsidR="00BE6FDB" w:rsidRPr="006A7067" w:rsidRDefault="00BE6FDB" w:rsidP="00BE6FDB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b/>
          <w:color w:val="000000"/>
          <w:sz w:val="28"/>
          <w:szCs w:val="28"/>
          <w:lang w:val="es-ES"/>
        </w:rPr>
      </w:pPr>
      <w:r w:rsidRPr="00011975">
        <w:rPr>
          <w:b/>
          <w:bCs/>
          <w:color w:val="000000"/>
          <w:sz w:val="28"/>
          <w:szCs w:val="28"/>
        </w:rPr>
        <w:t>Misión</w:t>
      </w:r>
      <w:r>
        <w:rPr>
          <w:b/>
          <w:bCs/>
          <w:color w:val="000000"/>
          <w:sz w:val="28"/>
          <w:szCs w:val="28"/>
        </w:rPr>
        <w:t>:</w:t>
      </w:r>
    </w:p>
    <w:p w:rsidR="006A7067" w:rsidRPr="006A7067" w:rsidRDefault="006A7067" w:rsidP="006A7067">
      <w:pPr>
        <w:spacing w:before="100" w:beforeAutospacing="1" w:after="100" w:afterAutospacing="1" w:line="360" w:lineRule="auto"/>
        <w:ind w:left="720"/>
        <w:jc w:val="both"/>
        <w:rPr>
          <w:color w:val="000000"/>
          <w:sz w:val="24"/>
          <w:szCs w:val="24"/>
          <w:lang w:val="es-ES"/>
        </w:rPr>
      </w:pPr>
      <w:r w:rsidRPr="006A7067">
        <w:rPr>
          <w:bCs/>
          <w:color w:val="000000"/>
          <w:sz w:val="24"/>
          <w:szCs w:val="24"/>
        </w:rPr>
        <w:t>Contribuir al desarrollo del sector asegurador mediante la aplicación efectiva y transparente</w:t>
      </w:r>
      <w:r>
        <w:rPr>
          <w:bCs/>
          <w:color w:val="000000"/>
          <w:sz w:val="24"/>
          <w:szCs w:val="24"/>
        </w:rPr>
        <w:t xml:space="preserve"> del marco legal.</w:t>
      </w:r>
    </w:p>
    <w:p w:rsidR="00BE6FDB" w:rsidRPr="009C4AAA" w:rsidRDefault="00BE6FDB" w:rsidP="00BE6FDB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sz w:val="28"/>
          <w:szCs w:val="28"/>
          <w:lang w:val="es-ES"/>
        </w:rPr>
      </w:pPr>
      <w:r w:rsidRPr="00011975">
        <w:rPr>
          <w:b/>
          <w:bCs/>
          <w:sz w:val="28"/>
          <w:szCs w:val="28"/>
          <w:lang w:val="es-ES"/>
        </w:rPr>
        <w:t xml:space="preserve">Visión: </w:t>
      </w:r>
    </w:p>
    <w:p w:rsidR="009C4AAA" w:rsidRPr="009C4AAA" w:rsidRDefault="009C4AAA" w:rsidP="009C4AAA">
      <w:pPr>
        <w:spacing w:before="100" w:beforeAutospacing="1" w:after="100" w:afterAutospacing="1" w:line="360" w:lineRule="auto"/>
        <w:ind w:left="720"/>
        <w:jc w:val="both"/>
        <w:rPr>
          <w:sz w:val="28"/>
          <w:szCs w:val="28"/>
          <w:lang w:val="es-ES"/>
        </w:rPr>
      </w:pPr>
      <w:r>
        <w:rPr>
          <w:sz w:val="24"/>
          <w:szCs w:val="24"/>
          <w:lang w:val="es-ES"/>
        </w:rPr>
        <w:t>Desarrollar una eficiente supervisión de las operaciones del mercado asegurador para mantener la confianza y la credibilidad como entidad reguladora.</w:t>
      </w:r>
    </w:p>
    <w:p w:rsidR="009C4AAA" w:rsidRDefault="009C4AAA" w:rsidP="009C4AAA">
      <w:pPr>
        <w:pStyle w:val="ListParagraph"/>
        <w:spacing w:before="100" w:beforeAutospacing="1" w:after="100" w:afterAutospacing="1" w:line="360" w:lineRule="auto"/>
        <w:ind w:left="720"/>
        <w:jc w:val="both"/>
        <w:rPr>
          <w:bCs/>
          <w:color w:val="000000"/>
          <w:sz w:val="24"/>
          <w:szCs w:val="24"/>
        </w:rPr>
      </w:pPr>
    </w:p>
    <w:p w:rsidR="00DE1BF7" w:rsidRDefault="009C4AAA" w:rsidP="009C4AAA">
      <w:pPr>
        <w:spacing w:before="100" w:beforeAutospacing="1" w:after="100" w:afterAutospacing="1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.</w:t>
      </w:r>
    </w:p>
    <w:p w:rsidR="00BE6FDB" w:rsidRDefault="00BE6FDB" w:rsidP="00BE6FDB">
      <w:pPr>
        <w:spacing w:line="360" w:lineRule="auto"/>
        <w:jc w:val="both"/>
        <w:rPr>
          <w:sz w:val="24"/>
          <w:szCs w:val="24"/>
          <w:lang w:val="es-ES"/>
        </w:rPr>
      </w:pPr>
    </w:p>
    <w:p w:rsidR="00BE6FDB" w:rsidRDefault="00BE6FDB" w:rsidP="00BE6FDB">
      <w:pPr>
        <w:spacing w:line="360" w:lineRule="auto"/>
        <w:jc w:val="both"/>
        <w:rPr>
          <w:sz w:val="24"/>
          <w:szCs w:val="24"/>
          <w:lang w:val="es-ES"/>
        </w:rPr>
      </w:pPr>
    </w:p>
    <w:p w:rsidR="00BE6FDB" w:rsidRDefault="00BE6FDB" w:rsidP="00BE6FDB">
      <w:pPr>
        <w:spacing w:line="360" w:lineRule="auto"/>
        <w:jc w:val="both"/>
        <w:rPr>
          <w:sz w:val="24"/>
          <w:szCs w:val="24"/>
          <w:lang w:val="es-ES"/>
        </w:rPr>
      </w:pPr>
    </w:p>
    <w:p w:rsidR="00BE6FDB" w:rsidRDefault="00BE6FDB" w:rsidP="00BE6FDB">
      <w:pPr>
        <w:spacing w:line="360" w:lineRule="auto"/>
        <w:jc w:val="both"/>
        <w:rPr>
          <w:sz w:val="24"/>
          <w:szCs w:val="24"/>
          <w:lang w:val="es-ES"/>
        </w:rPr>
      </w:pPr>
    </w:p>
    <w:p w:rsidR="00BE6FDB" w:rsidRDefault="00BE6FDB" w:rsidP="00BE6FDB">
      <w:pPr>
        <w:spacing w:line="360" w:lineRule="auto"/>
        <w:jc w:val="both"/>
        <w:rPr>
          <w:sz w:val="24"/>
          <w:szCs w:val="24"/>
          <w:lang w:val="es-ES"/>
        </w:rPr>
      </w:pPr>
    </w:p>
    <w:p w:rsidR="00BE6FDB" w:rsidRDefault="00BE6FDB" w:rsidP="00BE6FD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2A30E1" w:rsidRDefault="002A30E1" w:rsidP="00BE6FD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7406B3" w:rsidRDefault="007406B3" w:rsidP="00BE6FD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7406B3" w:rsidRDefault="007406B3" w:rsidP="00BE6FD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7406B3" w:rsidRDefault="007406B3" w:rsidP="00BE6FD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7406B3" w:rsidRDefault="007406B3" w:rsidP="00BE6FD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7406B3" w:rsidRDefault="007406B3" w:rsidP="00BE6FD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7406B3" w:rsidRDefault="007406B3" w:rsidP="00BE6FD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8458E7" w:rsidRDefault="008458E7" w:rsidP="00BE6FD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7406B3" w:rsidRDefault="007406B3" w:rsidP="00BE6FD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7406B3" w:rsidRDefault="007406B3" w:rsidP="00BE6FD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7406B3" w:rsidRDefault="007406B3" w:rsidP="00BE6FD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7406B3" w:rsidRDefault="007406B3" w:rsidP="00BE6FD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7406B3" w:rsidRDefault="007406B3" w:rsidP="00BE6FD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7406B3" w:rsidRDefault="007406B3" w:rsidP="00BE6FD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BE6FDB" w:rsidRDefault="00BE6FDB" w:rsidP="005C4FD0">
      <w:pPr>
        <w:spacing w:before="100" w:beforeAutospacing="1" w:after="100" w:afterAutospacing="1" w:line="36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SERVICIOS QUE OFRECE:</w:t>
      </w:r>
    </w:p>
    <w:p w:rsidR="00BE6FDB" w:rsidRPr="001E4F01" w:rsidRDefault="00D62166" w:rsidP="00BE6FDB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>Atender las reclamaciones</w:t>
      </w:r>
      <w:r w:rsidR="00BE6FDB" w:rsidRPr="001E4F01">
        <w:rPr>
          <w:color w:val="000000"/>
          <w:sz w:val="24"/>
          <w:szCs w:val="24"/>
          <w:lang w:val="es-ES"/>
        </w:rPr>
        <w:t xml:space="preserve"> de pagos </w:t>
      </w:r>
      <w:r w:rsidR="00C22942">
        <w:rPr>
          <w:color w:val="000000"/>
          <w:sz w:val="24"/>
          <w:szCs w:val="24"/>
          <w:lang w:val="es-ES"/>
        </w:rPr>
        <w:t xml:space="preserve">de las </w:t>
      </w:r>
      <w:r w:rsidR="00BE6FDB" w:rsidRPr="001E4F01">
        <w:rPr>
          <w:color w:val="000000"/>
          <w:sz w:val="24"/>
          <w:szCs w:val="24"/>
          <w:lang w:val="es-ES"/>
        </w:rPr>
        <w:t xml:space="preserve">pólizas de seguros de </w:t>
      </w:r>
      <w:r w:rsidR="00BE2B20">
        <w:rPr>
          <w:color w:val="000000"/>
          <w:sz w:val="24"/>
          <w:szCs w:val="24"/>
          <w:lang w:val="es-ES"/>
        </w:rPr>
        <w:t>compañías en liquidación</w:t>
      </w:r>
      <w:r w:rsidR="00BE6FDB" w:rsidRPr="001E4F01">
        <w:rPr>
          <w:color w:val="000000"/>
          <w:sz w:val="24"/>
          <w:szCs w:val="24"/>
          <w:lang w:val="es-ES"/>
        </w:rPr>
        <w:t>.</w:t>
      </w:r>
    </w:p>
    <w:p w:rsidR="00BE6FDB" w:rsidRPr="001E4F01" w:rsidRDefault="00BE6FDB" w:rsidP="00BE6FDB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color w:val="000000"/>
          <w:sz w:val="24"/>
          <w:szCs w:val="24"/>
          <w:lang w:val="es-ES"/>
        </w:rPr>
      </w:pPr>
      <w:r w:rsidRPr="001E4F01">
        <w:rPr>
          <w:color w:val="000000"/>
          <w:sz w:val="24"/>
          <w:szCs w:val="24"/>
          <w:lang w:val="es-ES"/>
        </w:rPr>
        <w:t>Certificado de Pólizas de Seguros de Vehículos, Vida, Incendio y Líneas Aliadas.</w:t>
      </w:r>
    </w:p>
    <w:p w:rsidR="00BE6FDB" w:rsidRPr="001E4F01" w:rsidRDefault="00BE6FDB" w:rsidP="00BE6FDB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color w:val="000000"/>
          <w:sz w:val="24"/>
          <w:szCs w:val="24"/>
          <w:lang w:val="es-ES"/>
        </w:rPr>
      </w:pPr>
      <w:r w:rsidRPr="001E4F01">
        <w:rPr>
          <w:color w:val="000000"/>
          <w:sz w:val="24"/>
          <w:szCs w:val="24"/>
          <w:lang w:val="es-ES"/>
        </w:rPr>
        <w:t>Expedición de licencias para operar como corredor de seguros.</w:t>
      </w:r>
    </w:p>
    <w:p w:rsidR="00BE6FDB" w:rsidRPr="001E4F01" w:rsidRDefault="00BE6FDB" w:rsidP="00BE6FDB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color w:val="000000"/>
          <w:sz w:val="24"/>
          <w:szCs w:val="24"/>
          <w:lang w:val="es-ES"/>
        </w:rPr>
      </w:pPr>
      <w:r w:rsidRPr="001E4F01">
        <w:rPr>
          <w:color w:val="000000"/>
          <w:sz w:val="24"/>
          <w:szCs w:val="24"/>
          <w:lang w:val="es-ES"/>
        </w:rPr>
        <w:t>Expedición de licencias para operar como ajustador de seguros.</w:t>
      </w:r>
    </w:p>
    <w:p w:rsidR="00BE6FDB" w:rsidRPr="001E4F01" w:rsidRDefault="00BE6FDB" w:rsidP="00BE6FDB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color w:val="000000"/>
          <w:sz w:val="24"/>
          <w:szCs w:val="24"/>
          <w:lang w:val="es-ES"/>
        </w:rPr>
      </w:pPr>
      <w:r w:rsidRPr="001E4F01">
        <w:rPr>
          <w:color w:val="000000"/>
          <w:sz w:val="24"/>
          <w:szCs w:val="24"/>
          <w:lang w:val="es-ES"/>
        </w:rPr>
        <w:t>Expedición de licencias para operar como agente o agente legal</w:t>
      </w:r>
      <w:r w:rsidR="00E77040">
        <w:rPr>
          <w:color w:val="000000"/>
          <w:sz w:val="24"/>
          <w:szCs w:val="24"/>
          <w:lang w:val="es-ES"/>
        </w:rPr>
        <w:t>.</w:t>
      </w:r>
    </w:p>
    <w:p w:rsidR="00BE6FDB" w:rsidRPr="001E4F01" w:rsidRDefault="00BE6FDB" w:rsidP="00BE6FDB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color w:val="000000"/>
          <w:sz w:val="24"/>
          <w:szCs w:val="24"/>
          <w:lang w:val="es-ES"/>
        </w:rPr>
      </w:pPr>
      <w:r w:rsidRPr="001E4F01">
        <w:rPr>
          <w:color w:val="000000"/>
          <w:sz w:val="24"/>
          <w:szCs w:val="24"/>
          <w:lang w:val="es-ES"/>
        </w:rPr>
        <w:t>Transferencia de licencia de una persona física de una compañía a otra.</w:t>
      </w:r>
    </w:p>
    <w:p w:rsidR="00BE6FDB" w:rsidRPr="001E4F01" w:rsidRDefault="00BE6FDB" w:rsidP="00BE6FDB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color w:val="000000"/>
          <w:sz w:val="24"/>
          <w:szCs w:val="24"/>
          <w:lang w:val="es-ES"/>
        </w:rPr>
      </w:pPr>
      <w:r w:rsidRPr="001E4F01">
        <w:rPr>
          <w:color w:val="000000"/>
          <w:sz w:val="24"/>
          <w:szCs w:val="24"/>
          <w:lang w:val="es-ES"/>
        </w:rPr>
        <w:t>Renovación de licencias para operar en el área del seguro.</w:t>
      </w:r>
    </w:p>
    <w:p w:rsidR="00BE6FDB" w:rsidRPr="001E4F01" w:rsidRDefault="00BE6FDB" w:rsidP="00BE6FDB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color w:val="000000"/>
          <w:sz w:val="24"/>
          <w:szCs w:val="24"/>
        </w:rPr>
      </w:pPr>
      <w:r w:rsidRPr="001E4F01">
        <w:rPr>
          <w:color w:val="000000"/>
          <w:sz w:val="24"/>
          <w:szCs w:val="24"/>
        </w:rPr>
        <w:t>Consulta de material bibliográfico.</w:t>
      </w:r>
    </w:p>
    <w:p w:rsidR="00BE6FDB" w:rsidRPr="001E4F01" w:rsidRDefault="00BE6FDB" w:rsidP="00BE6FDB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color w:val="000000"/>
          <w:sz w:val="24"/>
          <w:szCs w:val="24"/>
          <w:lang w:val="es-ES"/>
        </w:rPr>
      </w:pPr>
      <w:r w:rsidRPr="001E4F01">
        <w:rPr>
          <w:color w:val="000000"/>
          <w:sz w:val="24"/>
          <w:szCs w:val="24"/>
          <w:lang w:val="es-ES"/>
        </w:rPr>
        <w:t>Venta de boletines, revistas, formularios y material bibliográfico sobre seguros.</w:t>
      </w:r>
    </w:p>
    <w:p w:rsidR="00BE6FDB" w:rsidRPr="00A96D86" w:rsidRDefault="00BE6FDB" w:rsidP="00BE6FDB">
      <w:pPr>
        <w:rPr>
          <w:lang w:val="es-ES"/>
        </w:rPr>
      </w:pPr>
    </w:p>
    <w:p w:rsidR="00BE6FDB" w:rsidRPr="00BE6FDB" w:rsidRDefault="00BE6FDB" w:rsidP="00BE6FDB">
      <w:pPr>
        <w:tabs>
          <w:tab w:val="left" w:pos="3037"/>
        </w:tabs>
        <w:jc w:val="center"/>
        <w:rPr>
          <w:lang w:val="es-ES"/>
        </w:rPr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2B20" w:rsidRDefault="00BE2B20" w:rsidP="00BE6FDB">
      <w:pPr>
        <w:tabs>
          <w:tab w:val="left" w:pos="3037"/>
        </w:tabs>
        <w:jc w:val="center"/>
      </w:pPr>
    </w:p>
    <w:p w:rsidR="00BE2B20" w:rsidRDefault="00BE2B20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6F1EBB" w:rsidRDefault="006F1EBB" w:rsidP="00A22036">
      <w:pPr>
        <w:spacing w:line="360" w:lineRule="auto"/>
        <w:rPr>
          <w:b/>
          <w:sz w:val="24"/>
          <w:szCs w:val="24"/>
          <w:lang w:val="es-ES"/>
        </w:rPr>
      </w:pPr>
    </w:p>
    <w:p w:rsidR="006F1EBB" w:rsidRPr="00E467C0" w:rsidRDefault="006F1EBB" w:rsidP="005C4FD0">
      <w:pPr>
        <w:spacing w:line="360" w:lineRule="auto"/>
        <w:jc w:val="center"/>
        <w:outlineLvl w:val="0"/>
        <w:rPr>
          <w:b/>
          <w:sz w:val="24"/>
          <w:szCs w:val="24"/>
          <w:lang w:val="es-ES"/>
        </w:rPr>
      </w:pPr>
      <w:r w:rsidRPr="00E467C0">
        <w:rPr>
          <w:b/>
          <w:sz w:val="24"/>
          <w:szCs w:val="24"/>
          <w:lang w:val="es-ES"/>
        </w:rPr>
        <w:lastRenderedPageBreak/>
        <w:t xml:space="preserve">RESUMEN EJECUTIVO  </w:t>
      </w:r>
    </w:p>
    <w:p w:rsidR="006F1EBB" w:rsidRPr="00E467C0" w:rsidRDefault="006F1EBB" w:rsidP="006F1EBB">
      <w:pPr>
        <w:spacing w:line="360" w:lineRule="auto"/>
        <w:jc w:val="center"/>
        <w:rPr>
          <w:b/>
          <w:color w:val="FF0000"/>
          <w:sz w:val="24"/>
          <w:szCs w:val="24"/>
          <w:lang w:val="es-ES"/>
        </w:rPr>
      </w:pPr>
    </w:p>
    <w:p w:rsidR="006F1EBB" w:rsidRDefault="006F1EBB" w:rsidP="006F1EBB">
      <w:pPr>
        <w:spacing w:line="360" w:lineRule="auto"/>
        <w:jc w:val="both"/>
        <w:rPr>
          <w:color w:val="000000"/>
          <w:sz w:val="24"/>
          <w:szCs w:val="24"/>
          <w:lang w:val="es-ES"/>
        </w:rPr>
      </w:pPr>
      <w:r w:rsidRPr="00E467C0">
        <w:rPr>
          <w:color w:val="000000"/>
          <w:sz w:val="24"/>
          <w:szCs w:val="24"/>
          <w:lang w:val="es-ES"/>
        </w:rPr>
        <w:t xml:space="preserve">La Superintendencia de Seguros, </w:t>
      </w:r>
      <w:r>
        <w:rPr>
          <w:color w:val="000000"/>
          <w:sz w:val="24"/>
          <w:szCs w:val="24"/>
          <w:lang w:val="es-ES"/>
        </w:rPr>
        <w:t>entidad</w:t>
      </w:r>
      <w:r w:rsidRPr="00E467C0">
        <w:rPr>
          <w:color w:val="000000"/>
          <w:sz w:val="24"/>
          <w:szCs w:val="24"/>
          <w:lang w:val="es-ES"/>
        </w:rPr>
        <w:t xml:space="preserve"> encargada de supervisar, fiscalizar y administrar el régimen legal de las c</w:t>
      </w:r>
      <w:r>
        <w:rPr>
          <w:color w:val="000000"/>
          <w:sz w:val="24"/>
          <w:szCs w:val="24"/>
          <w:lang w:val="es-ES"/>
        </w:rPr>
        <w:t xml:space="preserve">ompañías de seguros, reaseguros </w:t>
      </w:r>
      <w:r w:rsidR="00876A23">
        <w:rPr>
          <w:color w:val="000000"/>
          <w:sz w:val="24"/>
          <w:szCs w:val="24"/>
          <w:lang w:val="es-ES"/>
        </w:rPr>
        <w:t xml:space="preserve">e </w:t>
      </w:r>
      <w:r w:rsidR="00876A23" w:rsidRPr="00E467C0">
        <w:rPr>
          <w:color w:val="000000"/>
          <w:sz w:val="24"/>
          <w:szCs w:val="24"/>
          <w:lang w:val="es-ES"/>
        </w:rPr>
        <w:t>intermediarios</w:t>
      </w:r>
      <w:r w:rsidRPr="00E467C0">
        <w:rPr>
          <w:color w:val="000000"/>
          <w:sz w:val="24"/>
          <w:szCs w:val="24"/>
          <w:lang w:val="es-ES"/>
        </w:rPr>
        <w:t xml:space="preserve"> a través de la aplicación de la </w:t>
      </w:r>
      <w:r w:rsidRPr="00B32BDB">
        <w:rPr>
          <w:sz w:val="24"/>
          <w:szCs w:val="24"/>
          <w:lang w:val="es-ES"/>
        </w:rPr>
        <w:t>Ley No.</w:t>
      </w:r>
      <w:r w:rsidRPr="00E467C0">
        <w:rPr>
          <w:color w:val="000000"/>
          <w:sz w:val="24"/>
          <w:szCs w:val="24"/>
          <w:lang w:val="es-ES"/>
        </w:rPr>
        <w:t xml:space="preserve"> 146-02 sobre</w:t>
      </w:r>
      <w:r w:rsidRPr="00B32BDB">
        <w:rPr>
          <w:color w:val="000000"/>
          <w:sz w:val="24"/>
          <w:szCs w:val="24"/>
          <w:lang w:val="es-ES"/>
        </w:rPr>
        <w:t xml:space="preserve"> </w:t>
      </w:r>
      <w:r w:rsidRPr="00B32BDB">
        <w:rPr>
          <w:sz w:val="24"/>
          <w:szCs w:val="24"/>
          <w:lang w:val="es-ES"/>
        </w:rPr>
        <w:t>Se</w:t>
      </w:r>
      <w:r>
        <w:rPr>
          <w:color w:val="000000"/>
          <w:sz w:val="24"/>
          <w:szCs w:val="24"/>
          <w:lang w:val="es-ES"/>
        </w:rPr>
        <w:t>guros y Fianzas</w:t>
      </w:r>
      <w:r w:rsidRPr="00E467C0">
        <w:rPr>
          <w:color w:val="000000"/>
          <w:sz w:val="24"/>
          <w:szCs w:val="24"/>
          <w:lang w:val="es-ES"/>
        </w:rPr>
        <w:t xml:space="preserve"> de la República Dominicana</w:t>
      </w:r>
      <w:r w:rsidRPr="00B32BDB">
        <w:rPr>
          <w:sz w:val="24"/>
          <w:szCs w:val="24"/>
          <w:lang w:val="es-ES"/>
        </w:rPr>
        <w:t>, desarrolló</w:t>
      </w:r>
      <w:r>
        <w:rPr>
          <w:color w:val="000000"/>
          <w:sz w:val="24"/>
          <w:szCs w:val="24"/>
          <w:lang w:val="es-ES"/>
        </w:rPr>
        <w:t xml:space="preserve"> las siguientes </w:t>
      </w:r>
      <w:r w:rsidRPr="00E467C0">
        <w:rPr>
          <w:color w:val="000000"/>
          <w:sz w:val="24"/>
          <w:szCs w:val="24"/>
          <w:lang w:val="es-ES"/>
        </w:rPr>
        <w:t xml:space="preserve"> </w:t>
      </w:r>
      <w:r>
        <w:rPr>
          <w:color w:val="000000"/>
          <w:sz w:val="24"/>
          <w:szCs w:val="24"/>
          <w:lang w:val="es-ES"/>
        </w:rPr>
        <w:t xml:space="preserve"> actividades.</w:t>
      </w:r>
    </w:p>
    <w:p w:rsidR="006F1EBB" w:rsidRPr="00E467C0" w:rsidRDefault="006F1EBB" w:rsidP="006F1EBB">
      <w:pPr>
        <w:spacing w:line="360" w:lineRule="auto"/>
        <w:jc w:val="both"/>
        <w:rPr>
          <w:color w:val="000000"/>
          <w:sz w:val="24"/>
          <w:szCs w:val="24"/>
          <w:lang w:val="es-ES"/>
        </w:rPr>
      </w:pPr>
    </w:p>
    <w:p w:rsidR="006F1EBB" w:rsidRDefault="006F1EBB" w:rsidP="006F1EB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Como resultado de las medidas de supervisión, inspección y regulación al mercado asegurador y reasegurador dominicano, l</w:t>
      </w:r>
      <w:r w:rsidRPr="009137AE">
        <w:rPr>
          <w:sz w:val="24"/>
          <w:szCs w:val="24"/>
          <w:lang w:val="es-ES"/>
        </w:rPr>
        <w:t xml:space="preserve">as primas </w:t>
      </w:r>
      <w:r>
        <w:rPr>
          <w:sz w:val="24"/>
          <w:szCs w:val="24"/>
          <w:lang w:val="es-ES"/>
        </w:rPr>
        <w:t>n</w:t>
      </w:r>
      <w:r w:rsidRPr="009137AE">
        <w:rPr>
          <w:sz w:val="24"/>
          <w:szCs w:val="24"/>
          <w:lang w:val="es-ES"/>
        </w:rPr>
        <w:t xml:space="preserve">etas y </w:t>
      </w:r>
      <w:r>
        <w:rPr>
          <w:sz w:val="24"/>
          <w:szCs w:val="24"/>
          <w:lang w:val="es-ES"/>
        </w:rPr>
        <w:t>e</w:t>
      </w:r>
      <w:r w:rsidRPr="009137AE">
        <w:rPr>
          <w:sz w:val="24"/>
          <w:szCs w:val="24"/>
          <w:lang w:val="es-ES"/>
        </w:rPr>
        <w:t xml:space="preserve">xoneradas </w:t>
      </w:r>
      <w:r>
        <w:rPr>
          <w:sz w:val="24"/>
          <w:szCs w:val="24"/>
          <w:lang w:val="es-ES"/>
        </w:rPr>
        <w:t>c</w:t>
      </w:r>
      <w:r w:rsidR="00C9551D">
        <w:rPr>
          <w:sz w:val="24"/>
          <w:szCs w:val="24"/>
          <w:lang w:val="es-ES"/>
        </w:rPr>
        <w:t>obradas en el periodo alcanzaron un mon</w:t>
      </w:r>
      <w:r w:rsidR="00E55B5F">
        <w:rPr>
          <w:sz w:val="24"/>
          <w:szCs w:val="24"/>
          <w:lang w:val="es-ES"/>
        </w:rPr>
        <w:t>to de RD$56,260,543,957</w:t>
      </w:r>
      <w:r w:rsidR="000712A4">
        <w:rPr>
          <w:sz w:val="24"/>
          <w:szCs w:val="24"/>
          <w:lang w:val="es-ES"/>
        </w:rPr>
        <w:t>.</w:t>
      </w:r>
      <w:r w:rsidR="00E55B5F">
        <w:rPr>
          <w:sz w:val="24"/>
          <w:szCs w:val="24"/>
          <w:lang w:val="es-ES"/>
        </w:rPr>
        <w:t>00</w:t>
      </w:r>
      <w:r w:rsidR="000712A4">
        <w:rPr>
          <w:sz w:val="24"/>
          <w:szCs w:val="24"/>
          <w:lang w:val="es-ES"/>
        </w:rPr>
        <w:t xml:space="preserve"> </w:t>
      </w:r>
      <w:r w:rsidR="00E55B5F">
        <w:rPr>
          <w:sz w:val="24"/>
          <w:szCs w:val="24"/>
          <w:lang w:val="es-ES"/>
        </w:rPr>
        <w:t>(cincuenta y seis mil dosciento</w:t>
      </w:r>
      <w:r w:rsidR="00C25F31">
        <w:rPr>
          <w:sz w:val="24"/>
          <w:szCs w:val="24"/>
          <w:lang w:val="es-ES"/>
        </w:rPr>
        <w:t>s sesenta millones,</w:t>
      </w:r>
      <w:r w:rsidR="00E55B5F">
        <w:rPr>
          <w:sz w:val="24"/>
          <w:szCs w:val="24"/>
          <w:lang w:val="es-ES"/>
        </w:rPr>
        <w:t xml:space="preserve"> quinientos cuarenta y tres mil novecientos cincuenta y siete pesos con 00/100</w:t>
      </w:r>
      <w:r w:rsidR="00601729">
        <w:rPr>
          <w:sz w:val="24"/>
          <w:szCs w:val="24"/>
          <w:lang w:val="es-ES"/>
        </w:rPr>
        <w:t>)</w:t>
      </w:r>
      <w:r w:rsidR="000712A4">
        <w:rPr>
          <w:sz w:val="24"/>
          <w:szCs w:val="24"/>
          <w:lang w:val="es-ES"/>
        </w:rPr>
        <w:t xml:space="preserve"> </w:t>
      </w:r>
      <w:r w:rsidR="00E55B5F">
        <w:rPr>
          <w:sz w:val="24"/>
          <w:szCs w:val="24"/>
          <w:lang w:val="es-ES"/>
        </w:rPr>
        <w:t>de los cuales RD$42,195,407,968.00</w:t>
      </w:r>
      <w:r w:rsidR="000712A4">
        <w:rPr>
          <w:sz w:val="24"/>
          <w:szCs w:val="24"/>
          <w:lang w:val="es-ES"/>
        </w:rPr>
        <w:t xml:space="preserve"> </w:t>
      </w:r>
      <w:r w:rsidR="00E55B5F">
        <w:rPr>
          <w:sz w:val="24"/>
          <w:szCs w:val="24"/>
          <w:lang w:val="es-ES"/>
        </w:rPr>
        <w:t>(Cuarent</w:t>
      </w:r>
      <w:r w:rsidR="00C25F31">
        <w:rPr>
          <w:sz w:val="24"/>
          <w:szCs w:val="24"/>
          <w:lang w:val="es-ES"/>
        </w:rPr>
        <w:t xml:space="preserve">a y dos mil </w:t>
      </w:r>
      <w:r w:rsidR="00A954B8">
        <w:rPr>
          <w:sz w:val="24"/>
          <w:szCs w:val="24"/>
          <w:lang w:val="es-ES"/>
        </w:rPr>
        <w:t>ciento</w:t>
      </w:r>
      <w:r w:rsidR="00C25F31">
        <w:rPr>
          <w:sz w:val="24"/>
          <w:szCs w:val="24"/>
          <w:lang w:val="es-ES"/>
        </w:rPr>
        <w:t xml:space="preserve"> noventa y cinco</w:t>
      </w:r>
      <w:r w:rsidR="00E55B5F">
        <w:rPr>
          <w:sz w:val="24"/>
          <w:szCs w:val="24"/>
          <w:lang w:val="es-ES"/>
        </w:rPr>
        <w:t xml:space="preserve"> millones, cuatrocientos siete mil novecientos sesenta y ocho pesos con 00/100</w:t>
      </w:r>
      <w:r w:rsidR="000712A4">
        <w:rPr>
          <w:sz w:val="24"/>
          <w:szCs w:val="24"/>
          <w:lang w:val="es-ES"/>
        </w:rPr>
        <w:t>)</w:t>
      </w:r>
      <w:r w:rsidR="00A14B81">
        <w:rPr>
          <w:sz w:val="24"/>
          <w:szCs w:val="24"/>
          <w:lang w:val="es-ES"/>
        </w:rPr>
        <w:t xml:space="preserve"> corresponden a prim</w:t>
      </w:r>
      <w:r w:rsidR="000712A4">
        <w:rPr>
          <w:sz w:val="24"/>
          <w:szCs w:val="24"/>
          <w:lang w:val="es-ES"/>
        </w:rPr>
        <w:t xml:space="preserve">as netas y RD$14,065,135,989.00 </w:t>
      </w:r>
      <w:r w:rsidR="00A14B81">
        <w:rPr>
          <w:sz w:val="24"/>
          <w:szCs w:val="24"/>
          <w:lang w:val="es-ES"/>
        </w:rPr>
        <w:t>(catorce  mil sesenta y cinco millones, ciento treinta y cinco mil novecientos ochenta y nueve pesos con 00/100</w:t>
      </w:r>
      <w:r w:rsidR="000712A4">
        <w:rPr>
          <w:sz w:val="24"/>
          <w:szCs w:val="24"/>
          <w:lang w:val="es-ES"/>
        </w:rPr>
        <w:t>)</w:t>
      </w:r>
      <w:r w:rsidR="00A14B81">
        <w:rPr>
          <w:sz w:val="24"/>
          <w:szCs w:val="24"/>
          <w:lang w:val="es-ES"/>
        </w:rPr>
        <w:t xml:space="preserve"> corresponden a primas exoneradas.</w:t>
      </w:r>
    </w:p>
    <w:p w:rsidR="008B44A5" w:rsidRPr="008B44A5" w:rsidRDefault="008B44A5" w:rsidP="006F1EBB">
      <w:pPr>
        <w:spacing w:line="360" w:lineRule="auto"/>
        <w:jc w:val="both"/>
        <w:rPr>
          <w:sz w:val="24"/>
          <w:szCs w:val="24"/>
          <w:lang w:val="es-ES"/>
        </w:rPr>
      </w:pPr>
    </w:p>
    <w:p w:rsidR="0051705F" w:rsidRDefault="006F1EBB" w:rsidP="006F1EB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elaboraron las siguientes re</w:t>
      </w:r>
      <w:r w:rsidR="000E3AB8">
        <w:rPr>
          <w:sz w:val="24"/>
          <w:szCs w:val="24"/>
          <w:lang w:val="es-ES"/>
        </w:rPr>
        <w:t>solucio</w:t>
      </w:r>
      <w:r w:rsidR="00C25F31">
        <w:rPr>
          <w:sz w:val="24"/>
          <w:szCs w:val="24"/>
          <w:lang w:val="es-ES"/>
        </w:rPr>
        <w:t>nes, la No.01</w:t>
      </w:r>
      <w:r w:rsidR="008F22A6">
        <w:rPr>
          <w:sz w:val="24"/>
          <w:szCs w:val="24"/>
          <w:lang w:val="es-ES"/>
        </w:rPr>
        <w:t>-18 de fecha 2 de febrero del 2018 autorizando a MIDAS SEGUROS S.A</w:t>
      </w:r>
      <w:r w:rsidR="00601729">
        <w:rPr>
          <w:sz w:val="24"/>
          <w:szCs w:val="24"/>
          <w:lang w:val="es-ES"/>
        </w:rPr>
        <w:t>.</w:t>
      </w:r>
      <w:r w:rsidR="008F22A6">
        <w:rPr>
          <w:sz w:val="24"/>
          <w:szCs w:val="24"/>
          <w:lang w:val="es-ES"/>
        </w:rPr>
        <w:t xml:space="preserve">  a operar el negocio de seguros en todos los ramos en el territorio nacional</w:t>
      </w:r>
      <w:r w:rsidR="00C30B6A">
        <w:rPr>
          <w:sz w:val="24"/>
          <w:szCs w:val="24"/>
          <w:lang w:val="es-ES"/>
        </w:rPr>
        <w:t xml:space="preserve">, </w:t>
      </w:r>
      <w:r w:rsidR="00601729">
        <w:rPr>
          <w:sz w:val="24"/>
          <w:szCs w:val="24"/>
          <w:lang w:val="es-ES"/>
        </w:rPr>
        <w:t xml:space="preserve">la </w:t>
      </w:r>
      <w:r w:rsidR="00C30B6A">
        <w:rPr>
          <w:sz w:val="24"/>
          <w:szCs w:val="24"/>
          <w:lang w:val="es-ES"/>
        </w:rPr>
        <w:t>N</w:t>
      </w:r>
      <w:r w:rsidR="008F22A6">
        <w:rPr>
          <w:sz w:val="24"/>
          <w:szCs w:val="24"/>
          <w:lang w:val="es-ES"/>
        </w:rPr>
        <w:t>o. 02-18 de fecha 05 de marzo del 2018, revocando la autorización para operar el negocio de seguros en todos los ramos a LA COMERCIAL DE SEGUROS</w:t>
      </w:r>
      <w:r w:rsidR="00AE21DB">
        <w:rPr>
          <w:sz w:val="24"/>
          <w:szCs w:val="24"/>
          <w:lang w:val="es-ES"/>
        </w:rPr>
        <w:t>,</w:t>
      </w:r>
      <w:r w:rsidR="008F22A6">
        <w:rPr>
          <w:sz w:val="24"/>
          <w:szCs w:val="24"/>
          <w:lang w:val="es-ES"/>
        </w:rPr>
        <w:t xml:space="preserve"> S.A.</w:t>
      </w:r>
      <w:r w:rsidR="00C30B6A">
        <w:rPr>
          <w:sz w:val="24"/>
          <w:szCs w:val="24"/>
          <w:lang w:val="es-ES"/>
        </w:rPr>
        <w:t>, la N</w:t>
      </w:r>
      <w:r w:rsidR="008F22A6">
        <w:rPr>
          <w:sz w:val="24"/>
          <w:szCs w:val="24"/>
          <w:lang w:val="es-ES"/>
        </w:rPr>
        <w:t>o.03-18 de fecha 23 de mayo del 2018, que impone a BUPA DOMINICANA, S.A</w:t>
      </w:r>
      <w:r w:rsidR="0051705F">
        <w:rPr>
          <w:sz w:val="24"/>
          <w:szCs w:val="24"/>
          <w:lang w:val="es-ES"/>
        </w:rPr>
        <w:t xml:space="preserve">. una multa de veinte salarios </w:t>
      </w:r>
      <w:r w:rsidR="00A954B8">
        <w:rPr>
          <w:sz w:val="24"/>
          <w:szCs w:val="24"/>
          <w:lang w:val="es-ES"/>
        </w:rPr>
        <w:t>mínimos</w:t>
      </w:r>
      <w:r w:rsidR="0051705F">
        <w:rPr>
          <w:sz w:val="24"/>
          <w:szCs w:val="24"/>
          <w:lang w:val="es-ES"/>
        </w:rPr>
        <w:t>, conforme a la escala establecida por el ministerio de trabajo, por haber violado las disposiciones de l</w:t>
      </w:r>
      <w:r w:rsidR="00601729">
        <w:rPr>
          <w:sz w:val="24"/>
          <w:szCs w:val="24"/>
          <w:lang w:val="es-ES"/>
        </w:rPr>
        <w:t>os artículos 36, 38 y 39 de la L</w:t>
      </w:r>
      <w:r w:rsidR="0051705F">
        <w:rPr>
          <w:sz w:val="24"/>
          <w:szCs w:val="24"/>
          <w:lang w:val="es-ES"/>
        </w:rPr>
        <w:t xml:space="preserve">ey </w:t>
      </w:r>
      <w:r w:rsidR="00C30B6A">
        <w:rPr>
          <w:sz w:val="24"/>
          <w:szCs w:val="24"/>
          <w:lang w:val="es-ES"/>
        </w:rPr>
        <w:t>N</w:t>
      </w:r>
      <w:r w:rsidR="00B77386">
        <w:rPr>
          <w:sz w:val="24"/>
          <w:szCs w:val="24"/>
          <w:lang w:val="es-ES"/>
        </w:rPr>
        <w:t>o. 146-</w:t>
      </w:r>
      <w:r w:rsidR="0051705F">
        <w:rPr>
          <w:sz w:val="24"/>
          <w:szCs w:val="24"/>
          <w:lang w:val="es-ES"/>
        </w:rPr>
        <w:t>02 sobre seguros y fianzas</w:t>
      </w:r>
      <w:r w:rsidR="00C30B6A">
        <w:rPr>
          <w:sz w:val="24"/>
          <w:szCs w:val="24"/>
          <w:lang w:val="es-ES"/>
        </w:rPr>
        <w:t>, la N</w:t>
      </w:r>
      <w:r w:rsidR="0051705F">
        <w:rPr>
          <w:sz w:val="24"/>
          <w:szCs w:val="24"/>
          <w:lang w:val="es-ES"/>
        </w:rPr>
        <w:t>o. 04-18 de fecha 23 de mayo del 2018, mediante la cual se impone a BANESCO SEGUROS,</w:t>
      </w:r>
      <w:r w:rsidR="00AE21DB">
        <w:rPr>
          <w:sz w:val="24"/>
          <w:szCs w:val="24"/>
          <w:lang w:val="es-ES"/>
        </w:rPr>
        <w:t xml:space="preserve"> </w:t>
      </w:r>
      <w:r w:rsidR="0051705F">
        <w:rPr>
          <w:sz w:val="24"/>
          <w:szCs w:val="24"/>
          <w:lang w:val="es-ES"/>
        </w:rPr>
        <w:t xml:space="preserve">S.A. una multa de veinte salarios </w:t>
      </w:r>
      <w:r w:rsidR="00A954B8">
        <w:rPr>
          <w:sz w:val="24"/>
          <w:szCs w:val="24"/>
          <w:lang w:val="es-ES"/>
        </w:rPr>
        <w:t>mínimos</w:t>
      </w:r>
      <w:r w:rsidR="0051705F">
        <w:rPr>
          <w:sz w:val="24"/>
          <w:szCs w:val="24"/>
          <w:lang w:val="es-ES"/>
        </w:rPr>
        <w:t xml:space="preserve">, conforme a la escala establecida por el Ministerio de Trabajo, por haber violado las disposiciones de los artículos 36, 38 y 39 de la </w:t>
      </w:r>
      <w:r w:rsidR="00EB2B4F">
        <w:rPr>
          <w:sz w:val="24"/>
          <w:szCs w:val="24"/>
          <w:lang w:val="es-ES"/>
        </w:rPr>
        <w:t>L</w:t>
      </w:r>
      <w:r w:rsidR="0051705F">
        <w:rPr>
          <w:sz w:val="24"/>
          <w:szCs w:val="24"/>
          <w:lang w:val="es-ES"/>
        </w:rPr>
        <w:t xml:space="preserve">ey </w:t>
      </w:r>
      <w:r w:rsidR="00AE21DB">
        <w:rPr>
          <w:sz w:val="24"/>
          <w:szCs w:val="24"/>
          <w:lang w:val="es-ES"/>
        </w:rPr>
        <w:t>N</w:t>
      </w:r>
      <w:r w:rsidR="0051705F">
        <w:rPr>
          <w:sz w:val="24"/>
          <w:szCs w:val="24"/>
          <w:lang w:val="es-ES"/>
        </w:rPr>
        <w:t>o.</w:t>
      </w:r>
      <w:r w:rsidR="00AE21DB">
        <w:rPr>
          <w:sz w:val="24"/>
          <w:szCs w:val="24"/>
          <w:lang w:val="es-ES"/>
        </w:rPr>
        <w:t xml:space="preserve"> 146-02 sobre seguros y fianzas, la r</w:t>
      </w:r>
      <w:r w:rsidR="00A954B8">
        <w:rPr>
          <w:sz w:val="24"/>
          <w:szCs w:val="24"/>
          <w:lang w:val="es-ES"/>
        </w:rPr>
        <w:t>esolución</w:t>
      </w:r>
      <w:r w:rsidR="0051705F">
        <w:rPr>
          <w:sz w:val="24"/>
          <w:szCs w:val="24"/>
          <w:lang w:val="es-ES"/>
        </w:rPr>
        <w:t xml:space="preserve"> </w:t>
      </w:r>
      <w:r w:rsidR="00AE21DB">
        <w:rPr>
          <w:sz w:val="24"/>
          <w:szCs w:val="24"/>
          <w:lang w:val="es-ES"/>
        </w:rPr>
        <w:t>N</w:t>
      </w:r>
      <w:r w:rsidR="0051705F">
        <w:rPr>
          <w:sz w:val="24"/>
          <w:szCs w:val="24"/>
          <w:lang w:val="es-ES"/>
        </w:rPr>
        <w:t>o. 05-18</w:t>
      </w:r>
      <w:r w:rsidR="00821462">
        <w:rPr>
          <w:sz w:val="24"/>
          <w:szCs w:val="24"/>
          <w:lang w:val="es-ES"/>
        </w:rPr>
        <w:t xml:space="preserve">  de fecha 30 de mayo del 2018 que </w:t>
      </w:r>
      <w:r w:rsidR="00AE21DB">
        <w:rPr>
          <w:sz w:val="24"/>
          <w:szCs w:val="24"/>
          <w:lang w:val="es-ES"/>
        </w:rPr>
        <w:t>autoriza</w:t>
      </w:r>
      <w:r w:rsidR="00821462">
        <w:rPr>
          <w:sz w:val="24"/>
          <w:szCs w:val="24"/>
          <w:lang w:val="es-ES"/>
        </w:rPr>
        <w:t xml:space="preserve"> a las compañías de seguros y reaseguros para que puedan</w:t>
      </w:r>
      <w:r w:rsidR="00B03033">
        <w:rPr>
          <w:sz w:val="24"/>
          <w:szCs w:val="24"/>
          <w:lang w:val="es-ES"/>
        </w:rPr>
        <w:t xml:space="preserve"> invertir </w:t>
      </w:r>
      <w:r w:rsidR="00B03033" w:rsidRPr="00B77386">
        <w:rPr>
          <w:sz w:val="24"/>
          <w:szCs w:val="24"/>
          <w:lang w:val="es-ES"/>
        </w:rPr>
        <w:t xml:space="preserve">las </w:t>
      </w:r>
      <w:r w:rsidR="00B77386" w:rsidRPr="00B77386">
        <w:rPr>
          <w:sz w:val="24"/>
          <w:szCs w:val="24"/>
          <w:lang w:val="es-ES"/>
        </w:rPr>
        <w:t>r</w:t>
      </w:r>
      <w:r w:rsidR="00821462" w:rsidRPr="00B77386">
        <w:rPr>
          <w:sz w:val="24"/>
          <w:szCs w:val="24"/>
          <w:lang w:val="es-ES"/>
        </w:rPr>
        <w:t>eservas</w:t>
      </w:r>
      <w:r w:rsidR="00821462">
        <w:rPr>
          <w:sz w:val="24"/>
          <w:szCs w:val="24"/>
          <w:lang w:val="es-ES"/>
        </w:rPr>
        <w:t xml:space="preserve"> </w:t>
      </w:r>
      <w:r w:rsidR="00B77386">
        <w:rPr>
          <w:sz w:val="24"/>
          <w:szCs w:val="24"/>
          <w:lang w:val="es-ES"/>
        </w:rPr>
        <w:t xml:space="preserve">en </w:t>
      </w:r>
      <w:r w:rsidR="00821462">
        <w:rPr>
          <w:sz w:val="24"/>
          <w:szCs w:val="24"/>
          <w:lang w:val="es-ES"/>
        </w:rPr>
        <w:t>div</w:t>
      </w:r>
      <w:r w:rsidR="00C25F31">
        <w:rPr>
          <w:sz w:val="24"/>
          <w:szCs w:val="24"/>
          <w:lang w:val="es-ES"/>
        </w:rPr>
        <w:t>ersos instrumentos de inversión</w:t>
      </w:r>
      <w:r w:rsidR="006E4FCC">
        <w:rPr>
          <w:sz w:val="24"/>
          <w:szCs w:val="24"/>
          <w:lang w:val="es-ES"/>
        </w:rPr>
        <w:t xml:space="preserve"> autorizados por la superintendencia de valores</w:t>
      </w:r>
      <w:r w:rsidR="00A954B8">
        <w:rPr>
          <w:sz w:val="24"/>
          <w:szCs w:val="24"/>
          <w:lang w:val="es-ES"/>
        </w:rPr>
        <w:t>.</w:t>
      </w:r>
    </w:p>
    <w:p w:rsidR="00AE21DB" w:rsidRDefault="00AE21DB" w:rsidP="006F1EBB">
      <w:pPr>
        <w:spacing w:line="360" w:lineRule="auto"/>
        <w:jc w:val="both"/>
        <w:rPr>
          <w:sz w:val="24"/>
          <w:szCs w:val="24"/>
          <w:lang w:val="es-ES"/>
        </w:rPr>
      </w:pPr>
    </w:p>
    <w:p w:rsidR="00821462" w:rsidRDefault="00AE21DB" w:rsidP="006F1EB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</w:t>
      </w:r>
      <w:r w:rsidR="00B03033">
        <w:rPr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 xml:space="preserve"> </w:t>
      </w:r>
      <w:r w:rsidR="00B03033">
        <w:rPr>
          <w:sz w:val="24"/>
          <w:szCs w:val="24"/>
          <w:lang w:val="es-ES"/>
        </w:rPr>
        <w:t>resoluciones</w:t>
      </w:r>
      <w:r w:rsidR="0082146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N</w:t>
      </w:r>
      <w:r w:rsidR="00821462">
        <w:rPr>
          <w:sz w:val="24"/>
          <w:szCs w:val="24"/>
          <w:lang w:val="es-ES"/>
        </w:rPr>
        <w:t>o.</w:t>
      </w:r>
      <w:r w:rsidR="00B77386">
        <w:rPr>
          <w:sz w:val="24"/>
          <w:szCs w:val="24"/>
          <w:lang w:val="es-ES"/>
        </w:rPr>
        <w:t xml:space="preserve"> </w:t>
      </w:r>
      <w:r w:rsidR="00821462">
        <w:rPr>
          <w:sz w:val="24"/>
          <w:szCs w:val="24"/>
          <w:lang w:val="es-ES"/>
        </w:rPr>
        <w:t xml:space="preserve">06-18 de fecha 10 de julio del 2018 que </w:t>
      </w:r>
      <w:r w:rsidR="006E4FCC">
        <w:rPr>
          <w:sz w:val="24"/>
          <w:szCs w:val="24"/>
          <w:lang w:val="es-ES"/>
        </w:rPr>
        <w:t xml:space="preserve">levanta </w:t>
      </w:r>
      <w:r w:rsidR="00821462">
        <w:rPr>
          <w:sz w:val="24"/>
          <w:szCs w:val="24"/>
          <w:lang w:val="es-ES"/>
        </w:rPr>
        <w:t>la suspensión temporal para operar el ramo de fianzas a la aseguradora AMIGOS COMPAÑÍA DE SEGUROS</w:t>
      </w:r>
      <w:r w:rsidR="00A954B8">
        <w:rPr>
          <w:sz w:val="24"/>
          <w:szCs w:val="24"/>
          <w:lang w:val="es-ES"/>
        </w:rPr>
        <w:t>, S.A</w:t>
      </w:r>
      <w:r w:rsidR="00821462">
        <w:rPr>
          <w:sz w:val="24"/>
          <w:szCs w:val="24"/>
          <w:lang w:val="es-ES"/>
        </w:rPr>
        <w:t>.</w:t>
      </w:r>
      <w:r w:rsidR="00B03033">
        <w:rPr>
          <w:sz w:val="24"/>
          <w:szCs w:val="24"/>
          <w:lang w:val="es-ES"/>
        </w:rPr>
        <w:t>, l</w:t>
      </w:r>
      <w:r>
        <w:rPr>
          <w:sz w:val="24"/>
          <w:szCs w:val="24"/>
          <w:lang w:val="es-ES"/>
        </w:rPr>
        <w:t xml:space="preserve">a </w:t>
      </w:r>
      <w:r w:rsidR="0082146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N</w:t>
      </w:r>
      <w:r w:rsidR="00821462">
        <w:rPr>
          <w:sz w:val="24"/>
          <w:szCs w:val="24"/>
          <w:lang w:val="es-ES"/>
        </w:rPr>
        <w:t>o.07-18 de fecha 14 de agosto del 2018, mediante la cual se impone a ATLANTICA SEGUROS,</w:t>
      </w:r>
      <w:r w:rsidR="00106B02">
        <w:rPr>
          <w:sz w:val="24"/>
          <w:szCs w:val="24"/>
          <w:lang w:val="es-ES"/>
        </w:rPr>
        <w:t xml:space="preserve"> </w:t>
      </w:r>
      <w:r w:rsidR="00821462">
        <w:rPr>
          <w:sz w:val="24"/>
          <w:szCs w:val="24"/>
          <w:lang w:val="es-ES"/>
        </w:rPr>
        <w:t xml:space="preserve">S.A. una multa de veinte salarios </w:t>
      </w:r>
      <w:r w:rsidR="00A954B8">
        <w:rPr>
          <w:sz w:val="24"/>
          <w:szCs w:val="24"/>
          <w:lang w:val="es-ES"/>
        </w:rPr>
        <w:t>mínimos</w:t>
      </w:r>
      <w:r w:rsidR="00821462">
        <w:rPr>
          <w:sz w:val="24"/>
          <w:szCs w:val="24"/>
          <w:lang w:val="es-ES"/>
        </w:rPr>
        <w:t>, conforme a la escala establecida por el Ministerio de Trabajo</w:t>
      </w:r>
      <w:r w:rsidR="00E955F6">
        <w:rPr>
          <w:sz w:val="24"/>
          <w:szCs w:val="24"/>
          <w:lang w:val="es-ES"/>
        </w:rPr>
        <w:t>, por haber violado las disposiciones de los artículos 36</w:t>
      </w:r>
      <w:r w:rsidR="00106B02">
        <w:rPr>
          <w:sz w:val="24"/>
          <w:szCs w:val="24"/>
          <w:lang w:val="es-ES"/>
        </w:rPr>
        <w:t xml:space="preserve">, </w:t>
      </w:r>
      <w:r w:rsidR="00E955F6">
        <w:rPr>
          <w:sz w:val="24"/>
          <w:szCs w:val="24"/>
          <w:lang w:val="es-ES"/>
        </w:rPr>
        <w:t xml:space="preserve">38 y 39 de la </w:t>
      </w:r>
      <w:r w:rsidR="00EB2B4F">
        <w:rPr>
          <w:sz w:val="24"/>
          <w:szCs w:val="24"/>
          <w:lang w:val="es-ES"/>
        </w:rPr>
        <w:t>L</w:t>
      </w:r>
      <w:r w:rsidR="00E955F6">
        <w:rPr>
          <w:sz w:val="24"/>
          <w:szCs w:val="24"/>
          <w:lang w:val="es-ES"/>
        </w:rPr>
        <w:t xml:space="preserve">ey </w:t>
      </w:r>
      <w:r w:rsidR="00106B02">
        <w:rPr>
          <w:sz w:val="24"/>
          <w:szCs w:val="24"/>
          <w:lang w:val="es-ES"/>
        </w:rPr>
        <w:t>No.</w:t>
      </w:r>
      <w:r w:rsidR="00E955F6">
        <w:rPr>
          <w:sz w:val="24"/>
          <w:szCs w:val="24"/>
          <w:lang w:val="es-ES"/>
        </w:rPr>
        <w:t>146-02 sobre seguros y fianzas</w:t>
      </w:r>
      <w:r w:rsidR="00106B02">
        <w:rPr>
          <w:sz w:val="24"/>
          <w:szCs w:val="24"/>
          <w:lang w:val="es-ES"/>
        </w:rPr>
        <w:t xml:space="preserve">, </w:t>
      </w:r>
      <w:r w:rsidR="00341EB5">
        <w:rPr>
          <w:sz w:val="24"/>
          <w:szCs w:val="24"/>
          <w:lang w:val="es-ES"/>
        </w:rPr>
        <w:t xml:space="preserve">la No. 08-18 de fecha 31 de octubre del 2018 que modifica la estructura orgánica de la Superintendencia de Seguros, </w:t>
      </w:r>
      <w:r w:rsidR="00106B02">
        <w:rPr>
          <w:sz w:val="24"/>
          <w:szCs w:val="24"/>
          <w:lang w:val="es-ES"/>
        </w:rPr>
        <w:t>la N</w:t>
      </w:r>
      <w:r w:rsidR="00E955F6">
        <w:rPr>
          <w:sz w:val="24"/>
          <w:szCs w:val="24"/>
          <w:lang w:val="es-ES"/>
        </w:rPr>
        <w:t>o. 09-18 de fecha 12 de octubre del 2018 que autoriza a la compañía HYLSEG SEGUROS</w:t>
      </w:r>
      <w:r w:rsidR="00A954B8">
        <w:rPr>
          <w:sz w:val="24"/>
          <w:szCs w:val="24"/>
          <w:lang w:val="es-ES"/>
        </w:rPr>
        <w:t>, S.A</w:t>
      </w:r>
      <w:r w:rsidR="00E955F6">
        <w:rPr>
          <w:sz w:val="24"/>
          <w:szCs w:val="24"/>
          <w:lang w:val="es-ES"/>
        </w:rPr>
        <w:t>. a operar el negocio de seguros en todos los ramos en el territorio nacional.</w:t>
      </w:r>
    </w:p>
    <w:p w:rsidR="00A63FCD" w:rsidRDefault="00341EB5" w:rsidP="006F1EB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</w:p>
    <w:p w:rsidR="008954BA" w:rsidRDefault="008954BA" w:rsidP="00441A4A">
      <w:pPr>
        <w:shd w:val="clear" w:color="auto" w:fill="FFFFFF"/>
        <w:spacing w:line="360" w:lineRule="auto"/>
        <w:jc w:val="both"/>
        <w:rPr>
          <w:color w:val="222222"/>
          <w:sz w:val="24"/>
          <w:szCs w:val="24"/>
          <w:lang w:val="es-ES"/>
        </w:rPr>
      </w:pPr>
    </w:p>
    <w:p w:rsidR="001267DC" w:rsidRDefault="001267DC" w:rsidP="001267DC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Fue aprobada la solicitud de cambio de nombre de MULTISEGUROS MEHR, S.A. por MULTISEGUROS S.U., S.A.</w:t>
      </w:r>
    </w:p>
    <w:p w:rsidR="001267DC" w:rsidRDefault="001267DC" w:rsidP="00441A4A">
      <w:pPr>
        <w:shd w:val="clear" w:color="auto" w:fill="FFFFFF"/>
        <w:spacing w:line="360" w:lineRule="auto"/>
        <w:jc w:val="both"/>
        <w:rPr>
          <w:color w:val="222222"/>
          <w:sz w:val="24"/>
          <w:szCs w:val="24"/>
          <w:lang w:val="es-ES"/>
        </w:rPr>
      </w:pPr>
    </w:p>
    <w:p w:rsidR="00441A4A" w:rsidRDefault="001267DC" w:rsidP="00441A4A">
      <w:pPr>
        <w:shd w:val="clear" w:color="auto" w:fill="FFFFFF"/>
        <w:spacing w:line="360" w:lineRule="auto"/>
        <w:jc w:val="both"/>
        <w:rPr>
          <w:color w:val="222222"/>
          <w:sz w:val="24"/>
          <w:szCs w:val="24"/>
          <w:lang w:val="es-ES"/>
        </w:rPr>
      </w:pPr>
      <w:r>
        <w:rPr>
          <w:color w:val="222222"/>
          <w:sz w:val="24"/>
          <w:szCs w:val="24"/>
          <w:lang w:val="es-ES"/>
        </w:rPr>
        <w:t>Fue organizada</w:t>
      </w:r>
      <w:r w:rsidR="00441A4A">
        <w:rPr>
          <w:color w:val="222222"/>
          <w:sz w:val="24"/>
          <w:szCs w:val="24"/>
          <w:lang w:val="es-ES"/>
        </w:rPr>
        <w:t xml:space="preserve"> exitosamente</w:t>
      </w:r>
      <w:r w:rsidRPr="001267DC">
        <w:rPr>
          <w:color w:val="222222"/>
          <w:sz w:val="24"/>
          <w:szCs w:val="24"/>
          <w:lang w:val="es-ES"/>
        </w:rPr>
        <w:t xml:space="preserve"> </w:t>
      </w:r>
      <w:r>
        <w:rPr>
          <w:color w:val="222222"/>
          <w:sz w:val="24"/>
          <w:szCs w:val="24"/>
          <w:lang w:val="es-ES"/>
        </w:rPr>
        <w:t>en la República Dominicana,</w:t>
      </w:r>
      <w:r w:rsidR="00441A4A">
        <w:rPr>
          <w:color w:val="222222"/>
          <w:sz w:val="24"/>
          <w:szCs w:val="24"/>
          <w:lang w:val="es-ES"/>
        </w:rPr>
        <w:t xml:space="preserve"> la Asamblea General Anual de la Asociación de Supervisores de Seguros de América Latina (ASSAL) y la reunión de alto nivel de la Asociación Internacional de</w:t>
      </w:r>
      <w:r>
        <w:rPr>
          <w:color w:val="222222"/>
          <w:sz w:val="24"/>
          <w:szCs w:val="24"/>
          <w:lang w:val="es-ES"/>
        </w:rPr>
        <w:t xml:space="preserve"> Supervisores de Seguros (IAIS). </w:t>
      </w:r>
    </w:p>
    <w:p w:rsidR="006F1EBB" w:rsidRDefault="006F1EBB" w:rsidP="006F1EBB">
      <w:pPr>
        <w:spacing w:line="360" w:lineRule="auto"/>
        <w:jc w:val="both"/>
        <w:rPr>
          <w:sz w:val="24"/>
          <w:szCs w:val="24"/>
          <w:lang w:val="es-ES"/>
        </w:rPr>
      </w:pPr>
    </w:p>
    <w:p w:rsidR="006F1EBB" w:rsidRDefault="006F1EBB" w:rsidP="006F1EB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Recibimos y</w:t>
      </w:r>
      <w:r w:rsidR="00133C58">
        <w:rPr>
          <w:sz w:val="24"/>
          <w:szCs w:val="24"/>
          <w:lang w:val="es-ES"/>
        </w:rPr>
        <w:t xml:space="preserve"> canaliza</w:t>
      </w:r>
      <w:r w:rsidR="00955C14">
        <w:rPr>
          <w:sz w:val="24"/>
          <w:szCs w:val="24"/>
          <w:lang w:val="es-ES"/>
        </w:rPr>
        <w:t>mos quinientos veinte</w:t>
      </w:r>
      <w:r>
        <w:rPr>
          <w:sz w:val="24"/>
          <w:szCs w:val="24"/>
          <w:lang w:val="es-ES"/>
        </w:rPr>
        <w:t xml:space="preserve"> </w:t>
      </w:r>
      <w:r w:rsidRPr="00E467C0">
        <w:rPr>
          <w:sz w:val="24"/>
          <w:szCs w:val="24"/>
          <w:lang w:val="es-ES"/>
        </w:rPr>
        <w:t>(</w:t>
      </w:r>
      <w:r w:rsidR="00955C14">
        <w:rPr>
          <w:sz w:val="24"/>
          <w:szCs w:val="24"/>
          <w:lang w:val="es-ES"/>
        </w:rPr>
        <w:t>520</w:t>
      </w:r>
      <w:r w:rsidRPr="00E467C0">
        <w:rPr>
          <w:sz w:val="24"/>
          <w:szCs w:val="24"/>
          <w:lang w:val="es-ES"/>
        </w:rPr>
        <w:t xml:space="preserve">) solicitudes </w:t>
      </w:r>
      <w:r>
        <w:rPr>
          <w:sz w:val="24"/>
          <w:szCs w:val="24"/>
          <w:lang w:val="es-ES"/>
        </w:rPr>
        <w:t>de</w:t>
      </w:r>
      <w:r w:rsidRPr="000D7FFD">
        <w:rPr>
          <w:sz w:val="24"/>
          <w:szCs w:val="24"/>
          <w:lang w:val="es-ES"/>
        </w:rPr>
        <w:t xml:space="preserve"> </w:t>
      </w:r>
      <w:r w:rsidRPr="00E467C0">
        <w:rPr>
          <w:sz w:val="24"/>
          <w:szCs w:val="24"/>
          <w:lang w:val="es-ES"/>
        </w:rPr>
        <w:t>licencias</w:t>
      </w:r>
      <w:r>
        <w:rPr>
          <w:sz w:val="24"/>
          <w:szCs w:val="24"/>
          <w:lang w:val="es-ES"/>
        </w:rPr>
        <w:t xml:space="preserve"> </w:t>
      </w:r>
      <w:r w:rsidR="00876A23">
        <w:rPr>
          <w:sz w:val="24"/>
          <w:szCs w:val="24"/>
          <w:lang w:val="es-ES"/>
        </w:rPr>
        <w:t xml:space="preserve">y </w:t>
      </w:r>
      <w:r w:rsidR="00876A23" w:rsidRPr="00E467C0">
        <w:rPr>
          <w:sz w:val="24"/>
          <w:szCs w:val="24"/>
          <w:lang w:val="es-ES"/>
        </w:rPr>
        <w:t>renovaciones</w:t>
      </w:r>
      <w:r w:rsidRPr="000D7FFD">
        <w:rPr>
          <w:sz w:val="24"/>
          <w:szCs w:val="24"/>
          <w:lang w:val="es-ES"/>
        </w:rPr>
        <w:t xml:space="preserve"> </w:t>
      </w:r>
      <w:r w:rsidRPr="00E467C0">
        <w:rPr>
          <w:sz w:val="24"/>
          <w:szCs w:val="24"/>
          <w:lang w:val="es-ES"/>
        </w:rPr>
        <w:t>de diferentes tipos</w:t>
      </w:r>
      <w:r>
        <w:rPr>
          <w:sz w:val="24"/>
          <w:szCs w:val="24"/>
          <w:lang w:val="es-ES"/>
        </w:rPr>
        <w:t xml:space="preserve">. </w:t>
      </w:r>
    </w:p>
    <w:p w:rsidR="006F1EBB" w:rsidRPr="00E467C0" w:rsidRDefault="006F1EBB" w:rsidP="006F1EBB">
      <w:pPr>
        <w:spacing w:line="360" w:lineRule="auto"/>
        <w:jc w:val="both"/>
        <w:rPr>
          <w:sz w:val="24"/>
          <w:szCs w:val="24"/>
          <w:lang w:val="es-ES"/>
        </w:rPr>
      </w:pPr>
    </w:p>
    <w:p w:rsidR="006F1EBB" w:rsidRDefault="006F1EBB" w:rsidP="006F1EBB">
      <w:pPr>
        <w:spacing w:line="360" w:lineRule="auto"/>
        <w:jc w:val="both"/>
        <w:rPr>
          <w:b/>
          <w:sz w:val="24"/>
          <w:szCs w:val="24"/>
          <w:lang w:val="es-ES"/>
        </w:rPr>
      </w:pPr>
      <w:r w:rsidRPr="00E467C0">
        <w:rPr>
          <w:sz w:val="24"/>
          <w:szCs w:val="24"/>
          <w:lang w:val="es-ES"/>
        </w:rPr>
        <w:t xml:space="preserve">Las certificaciones expedidas alcanzaron un total de </w:t>
      </w:r>
      <w:r w:rsidR="00E171C5">
        <w:rPr>
          <w:sz w:val="24"/>
          <w:szCs w:val="24"/>
          <w:lang w:val="es-ES"/>
        </w:rPr>
        <w:t xml:space="preserve">cuatro </w:t>
      </w:r>
      <w:r w:rsidR="00955C14">
        <w:rPr>
          <w:sz w:val="24"/>
          <w:szCs w:val="24"/>
          <w:lang w:val="es-ES"/>
        </w:rPr>
        <w:t xml:space="preserve">mil </w:t>
      </w:r>
      <w:r w:rsidR="00E171C5">
        <w:rPr>
          <w:sz w:val="24"/>
          <w:szCs w:val="24"/>
          <w:lang w:val="es-ES"/>
        </w:rPr>
        <w:t xml:space="preserve">seiscientos catorce </w:t>
      </w:r>
      <w:r w:rsidRPr="00E467C0">
        <w:rPr>
          <w:sz w:val="24"/>
          <w:szCs w:val="24"/>
          <w:lang w:val="es-ES"/>
        </w:rPr>
        <w:t>(</w:t>
      </w:r>
      <w:r w:rsidR="00E171C5">
        <w:rPr>
          <w:sz w:val="24"/>
          <w:szCs w:val="24"/>
          <w:lang w:val="es-ES"/>
        </w:rPr>
        <w:t>4</w:t>
      </w:r>
      <w:r w:rsidR="00273859">
        <w:rPr>
          <w:sz w:val="24"/>
          <w:szCs w:val="24"/>
          <w:lang w:val="es-ES"/>
        </w:rPr>
        <w:t>,</w:t>
      </w:r>
      <w:r w:rsidR="00E171C5">
        <w:rPr>
          <w:sz w:val="24"/>
          <w:szCs w:val="24"/>
          <w:lang w:val="es-ES"/>
        </w:rPr>
        <w:t>614</w:t>
      </w:r>
      <w:r w:rsidRPr="00E467C0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 xml:space="preserve"> atendiendo requerimientos de personas físicas y morales.</w:t>
      </w:r>
      <w:r w:rsidRPr="00E467C0">
        <w:rPr>
          <w:sz w:val="24"/>
          <w:szCs w:val="24"/>
          <w:lang w:val="es-ES"/>
        </w:rPr>
        <w:t xml:space="preserve"> </w:t>
      </w:r>
    </w:p>
    <w:p w:rsidR="00E171C5" w:rsidRPr="00E171C5" w:rsidRDefault="00E171C5" w:rsidP="006F1EBB">
      <w:pPr>
        <w:spacing w:line="360" w:lineRule="auto"/>
        <w:jc w:val="both"/>
        <w:rPr>
          <w:b/>
          <w:sz w:val="24"/>
          <w:szCs w:val="24"/>
          <w:lang w:val="es-ES"/>
        </w:rPr>
      </w:pPr>
    </w:p>
    <w:p w:rsidR="006F1EBB" w:rsidRDefault="00CE2174" w:rsidP="006F1EB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Verificamos</w:t>
      </w:r>
      <w:r w:rsidR="00E537C2">
        <w:rPr>
          <w:sz w:val="24"/>
          <w:szCs w:val="24"/>
          <w:lang w:val="es-ES"/>
        </w:rPr>
        <w:t xml:space="preserve"> </w:t>
      </w:r>
      <w:r w:rsidR="00E95A66">
        <w:rPr>
          <w:sz w:val="24"/>
          <w:szCs w:val="24"/>
          <w:lang w:val="es-ES"/>
        </w:rPr>
        <w:t xml:space="preserve">setecientos quince </w:t>
      </w:r>
      <w:r w:rsidR="00A954B8">
        <w:rPr>
          <w:sz w:val="24"/>
          <w:szCs w:val="24"/>
          <w:lang w:val="es-ES"/>
        </w:rPr>
        <w:t>(</w:t>
      </w:r>
      <w:r w:rsidR="00E95A66">
        <w:rPr>
          <w:sz w:val="24"/>
          <w:szCs w:val="24"/>
          <w:lang w:val="es-ES"/>
        </w:rPr>
        <w:t>715</w:t>
      </w:r>
      <w:r w:rsidR="006F1EBB">
        <w:rPr>
          <w:sz w:val="24"/>
          <w:szCs w:val="24"/>
          <w:lang w:val="es-ES"/>
        </w:rPr>
        <w:t xml:space="preserve">) contratos de fianzas para asegurar el cumplimento de las obligaciones en virtud de sentencias dictadas en las cortes. </w:t>
      </w:r>
    </w:p>
    <w:p w:rsidR="006F1EBB" w:rsidRDefault="006F1EBB" w:rsidP="006F1EBB">
      <w:pPr>
        <w:spacing w:line="360" w:lineRule="auto"/>
        <w:jc w:val="both"/>
        <w:rPr>
          <w:sz w:val="24"/>
          <w:szCs w:val="24"/>
          <w:lang w:val="es-ES"/>
        </w:rPr>
      </w:pPr>
    </w:p>
    <w:p w:rsidR="006F1EBB" w:rsidRDefault="006F1EBB" w:rsidP="006F1EB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encuentran depositados en la dire</w:t>
      </w:r>
      <w:r w:rsidR="00CE2174">
        <w:rPr>
          <w:sz w:val="24"/>
          <w:szCs w:val="24"/>
          <w:lang w:val="es-ES"/>
        </w:rPr>
        <w:t xml:space="preserve">cción financiera, sesenta y </w:t>
      </w:r>
      <w:r w:rsidR="00A954B8">
        <w:rPr>
          <w:sz w:val="24"/>
          <w:szCs w:val="24"/>
          <w:lang w:val="es-ES"/>
        </w:rPr>
        <w:t>tres (</w:t>
      </w:r>
      <w:r w:rsidR="00CE2174">
        <w:rPr>
          <w:sz w:val="24"/>
          <w:szCs w:val="24"/>
          <w:lang w:val="es-ES"/>
        </w:rPr>
        <w:t>63</w:t>
      </w:r>
      <w:r w:rsidR="00346C5D">
        <w:rPr>
          <w:sz w:val="24"/>
          <w:szCs w:val="24"/>
          <w:lang w:val="es-ES"/>
        </w:rPr>
        <w:t xml:space="preserve">) </w:t>
      </w:r>
      <w:r w:rsidR="00876A23">
        <w:rPr>
          <w:sz w:val="24"/>
          <w:szCs w:val="24"/>
          <w:lang w:val="es-ES"/>
        </w:rPr>
        <w:t>certificados financieros para</w:t>
      </w:r>
      <w:r>
        <w:rPr>
          <w:sz w:val="24"/>
          <w:szCs w:val="24"/>
          <w:lang w:val="es-ES"/>
        </w:rPr>
        <w:t xml:space="preserve"> avalar las licencias de los Corredores y Ajustadores de seguros</w:t>
      </w:r>
      <w:r w:rsidR="00273859">
        <w:rPr>
          <w:sz w:val="24"/>
          <w:szCs w:val="24"/>
          <w:lang w:val="es-ES"/>
        </w:rPr>
        <w:t xml:space="preserve"> y actualizamos diversos fondos de </w:t>
      </w:r>
      <w:r w:rsidR="00E171C5">
        <w:rPr>
          <w:sz w:val="24"/>
          <w:szCs w:val="24"/>
          <w:lang w:val="es-ES"/>
        </w:rPr>
        <w:t>garantía</w:t>
      </w:r>
      <w:r>
        <w:rPr>
          <w:sz w:val="24"/>
          <w:szCs w:val="24"/>
          <w:lang w:val="es-ES"/>
        </w:rPr>
        <w:t xml:space="preserve">. </w:t>
      </w:r>
    </w:p>
    <w:p w:rsidR="006F1EBB" w:rsidRDefault="006F1EBB" w:rsidP="006F1EBB">
      <w:pPr>
        <w:spacing w:line="360" w:lineRule="auto"/>
        <w:jc w:val="both"/>
        <w:rPr>
          <w:sz w:val="24"/>
          <w:szCs w:val="24"/>
          <w:lang w:val="es-ES"/>
        </w:rPr>
      </w:pPr>
    </w:p>
    <w:p w:rsidR="006F1EBB" w:rsidRDefault="006F1EBB" w:rsidP="006F1EBB">
      <w:pPr>
        <w:spacing w:line="360" w:lineRule="auto"/>
        <w:jc w:val="both"/>
        <w:rPr>
          <w:sz w:val="24"/>
          <w:szCs w:val="24"/>
          <w:lang w:val="es-ES"/>
        </w:rPr>
      </w:pPr>
      <w:r w:rsidRPr="00640A84">
        <w:rPr>
          <w:sz w:val="24"/>
          <w:szCs w:val="24"/>
          <w:lang w:val="es-ES"/>
        </w:rPr>
        <w:t>Fueron registradas</w:t>
      </w:r>
      <w:r w:rsidR="007540F6">
        <w:rPr>
          <w:sz w:val="24"/>
          <w:szCs w:val="24"/>
          <w:lang w:val="es-ES"/>
        </w:rPr>
        <w:t xml:space="preserve"> </w:t>
      </w:r>
      <w:r w:rsidR="00985719">
        <w:rPr>
          <w:sz w:val="24"/>
          <w:szCs w:val="24"/>
          <w:lang w:val="es-ES"/>
        </w:rPr>
        <w:t xml:space="preserve">siete </w:t>
      </w:r>
      <w:r w:rsidR="007540F6">
        <w:rPr>
          <w:sz w:val="24"/>
          <w:szCs w:val="24"/>
          <w:lang w:val="es-ES"/>
        </w:rPr>
        <w:t>(0</w:t>
      </w:r>
      <w:r w:rsidR="00985719">
        <w:rPr>
          <w:sz w:val="24"/>
          <w:szCs w:val="24"/>
          <w:lang w:val="es-ES"/>
        </w:rPr>
        <w:t>7</w:t>
      </w:r>
      <w:r>
        <w:rPr>
          <w:sz w:val="24"/>
          <w:szCs w:val="24"/>
          <w:lang w:val="es-ES"/>
        </w:rPr>
        <w:t xml:space="preserve">) firmas de Auditores y Auditor independiente para que las compañías aseguradoras realicen sus auditorías con firmas de auditores registrados en esta Superintendencia de Seguros en correspondencia a los requisitos establecidos. </w:t>
      </w:r>
    </w:p>
    <w:p w:rsidR="00A22036" w:rsidRDefault="00A22036" w:rsidP="006F1EBB">
      <w:pPr>
        <w:spacing w:line="360" w:lineRule="auto"/>
        <w:jc w:val="both"/>
        <w:rPr>
          <w:sz w:val="24"/>
          <w:szCs w:val="24"/>
          <w:lang w:val="es-ES"/>
        </w:rPr>
      </w:pPr>
    </w:p>
    <w:p w:rsidR="006F1EBB" w:rsidRDefault="006F1EBB" w:rsidP="006F1EBB">
      <w:pPr>
        <w:spacing w:line="360" w:lineRule="auto"/>
        <w:jc w:val="both"/>
        <w:rPr>
          <w:sz w:val="24"/>
          <w:szCs w:val="24"/>
          <w:lang w:val="es-ES"/>
        </w:rPr>
      </w:pPr>
      <w:r w:rsidRPr="00A933D6">
        <w:rPr>
          <w:sz w:val="24"/>
          <w:szCs w:val="24"/>
          <w:lang w:val="es-ES"/>
        </w:rPr>
        <w:t>Actuando como Amigable Comp</w:t>
      </w:r>
      <w:r>
        <w:rPr>
          <w:sz w:val="24"/>
          <w:szCs w:val="24"/>
          <w:lang w:val="es-ES"/>
        </w:rPr>
        <w:t>onedor</w:t>
      </w:r>
      <w:r w:rsidRPr="00A933D6">
        <w:rPr>
          <w:sz w:val="24"/>
          <w:szCs w:val="24"/>
          <w:lang w:val="es-ES"/>
        </w:rPr>
        <w:t xml:space="preserve"> en el proceso de conciliación y arbitraje</w:t>
      </w:r>
      <w:r>
        <w:rPr>
          <w:sz w:val="24"/>
          <w:szCs w:val="24"/>
          <w:lang w:val="es-ES"/>
        </w:rPr>
        <w:t>,</w:t>
      </w:r>
      <w:r w:rsidRPr="00A933D6">
        <w:rPr>
          <w:sz w:val="24"/>
          <w:szCs w:val="24"/>
          <w:lang w:val="es-ES"/>
        </w:rPr>
        <w:t xml:space="preserve"> </w:t>
      </w:r>
      <w:r w:rsidR="00876A23" w:rsidRPr="00A933D6">
        <w:rPr>
          <w:sz w:val="24"/>
          <w:szCs w:val="24"/>
          <w:lang w:val="es-ES"/>
        </w:rPr>
        <w:t>fueron conocidas</w:t>
      </w:r>
      <w:r w:rsidR="00CE2174">
        <w:rPr>
          <w:sz w:val="24"/>
          <w:szCs w:val="24"/>
          <w:lang w:val="es-ES"/>
        </w:rPr>
        <w:t xml:space="preserve"> setenta y nueve</w:t>
      </w:r>
      <w:r w:rsidR="007540F6">
        <w:rPr>
          <w:sz w:val="24"/>
          <w:szCs w:val="24"/>
          <w:lang w:val="es-ES"/>
        </w:rPr>
        <w:t xml:space="preserve"> (79</w:t>
      </w:r>
      <w:r w:rsidR="00876A23">
        <w:rPr>
          <w:sz w:val="24"/>
          <w:szCs w:val="24"/>
          <w:lang w:val="es-ES"/>
        </w:rPr>
        <w:t>)</w:t>
      </w:r>
      <w:r w:rsidR="00876A23" w:rsidRPr="00A933D6">
        <w:rPr>
          <w:sz w:val="24"/>
          <w:szCs w:val="24"/>
          <w:lang w:val="es-ES"/>
        </w:rPr>
        <w:t xml:space="preserve"> conciliaciones</w:t>
      </w:r>
      <w:r w:rsidRPr="00A933D6">
        <w:rPr>
          <w:sz w:val="24"/>
          <w:szCs w:val="24"/>
          <w:lang w:val="es-ES"/>
        </w:rPr>
        <w:t xml:space="preserve"> entre las diferentes compañías de segu</w:t>
      </w:r>
      <w:r>
        <w:rPr>
          <w:sz w:val="24"/>
          <w:szCs w:val="24"/>
          <w:lang w:val="es-ES"/>
        </w:rPr>
        <w:t>ros y sus asegurados y se re</w:t>
      </w:r>
      <w:r w:rsidR="007540F6">
        <w:rPr>
          <w:sz w:val="24"/>
          <w:szCs w:val="24"/>
          <w:lang w:val="es-ES"/>
        </w:rPr>
        <w:t xml:space="preserve">dactaron cuarenta y </w:t>
      </w:r>
      <w:r w:rsidR="00876A23">
        <w:rPr>
          <w:sz w:val="24"/>
          <w:szCs w:val="24"/>
          <w:lang w:val="es-ES"/>
        </w:rPr>
        <w:t>tres (</w:t>
      </w:r>
      <w:r w:rsidR="007540F6">
        <w:rPr>
          <w:sz w:val="24"/>
          <w:szCs w:val="24"/>
          <w:lang w:val="es-ES"/>
        </w:rPr>
        <w:t>43</w:t>
      </w:r>
      <w:r w:rsidR="004F3B47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 xml:space="preserve"> Actas de no Acuerdos, ya que las partes no pudieron conciliar y así permitir que los asegurados puedan llevar sus reclamaciones a los </w:t>
      </w:r>
      <w:r w:rsidRPr="00640A84">
        <w:rPr>
          <w:sz w:val="24"/>
          <w:szCs w:val="24"/>
          <w:lang w:val="es-ES"/>
        </w:rPr>
        <w:t>tribunales correspondientes.</w:t>
      </w:r>
      <w:r>
        <w:rPr>
          <w:sz w:val="24"/>
          <w:szCs w:val="24"/>
          <w:lang w:val="es-ES"/>
        </w:rPr>
        <w:t xml:space="preserve"> </w:t>
      </w:r>
    </w:p>
    <w:p w:rsidR="006F1EBB" w:rsidRDefault="006F1EBB" w:rsidP="006F1EBB">
      <w:pPr>
        <w:spacing w:line="360" w:lineRule="auto"/>
        <w:jc w:val="both"/>
        <w:rPr>
          <w:sz w:val="24"/>
          <w:szCs w:val="24"/>
          <w:lang w:val="es-ES"/>
        </w:rPr>
      </w:pPr>
    </w:p>
    <w:p w:rsidR="005121A8" w:rsidRDefault="006F1EBB" w:rsidP="006F1EB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</w:t>
      </w:r>
      <w:r w:rsidRPr="006778EA">
        <w:rPr>
          <w:sz w:val="24"/>
          <w:szCs w:val="24"/>
          <w:lang w:val="es-ES"/>
        </w:rPr>
        <w:t>ublic</w:t>
      </w:r>
      <w:r>
        <w:rPr>
          <w:sz w:val="24"/>
          <w:szCs w:val="24"/>
          <w:lang w:val="es-ES"/>
        </w:rPr>
        <w:t>am</w:t>
      </w:r>
      <w:r w:rsidRPr="006778EA">
        <w:rPr>
          <w:sz w:val="24"/>
          <w:szCs w:val="24"/>
          <w:lang w:val="es-ES"/>
        </w:rPr>
        <w:t>o</w:t>
      </w:r>
      <w:r>
        <w:rPr>
          <w:sz w:val="24"/>
          <w:szCs w:val="24"/>
          <w:lang w:val="es-ES"/>
        </w:rPr>
        <w:t xml:space="preserve">s </w:t>
      </w:r>
      <w:r w:rsidR="00CA2B1D">
        <w:rPr>
          <w:sz w:val="24"/>
          <w:szCs w:val="24"/>
          <w:lang w:val="es-ES"/>
        </w:rPr>
        <w:t xml:space="preserve">los márgenes de solvencia y liquidez </w:t>
      </w:r>
      <w:r w:rsidR="00A954B8">
        <w:rPr>
          <w:sz w:val="24"/>
          <w:szCs w:val="24"/>
          <w:lang w:val="es-ES"/>
        </w:rPr>
        <w:t>mínima</w:t>
      </w:r>
      <w:r w:rsidR="00CA2B1D">
        <w:rPr>
          <w:sz w:val="24"/>
          <w:szCs w:val="24"/>
          <w:lang w:val="es-ES"/>
        </w:rPr>
        <w:t xml:space="preserve"> requerida de las compañías de seguros y reaseguros de la </w:t>
      </w:r>
      <w:r w:rsidR="00346C5D">
        <w:rPr>
          <w:sz w:val="24"/>
          <w:szCs w:val="24"/>
          <w:lang w:val="es-ES"/>
        </w:rPr>
        <w:t>República</w:t>
      </w:r>
      <w:r w:rsidR="00CA2B1D">
        <w:rPr>
          <w:sz w:val="24"/>
          <w:szCs w:val="24"/>
          <w:lang w:val="es-ES"/>
        </w:rPr>
        <w:t xml:space="preserve"> Dominicana, correspondie</w:t>
      </w:r>
      <w:r w:rsidR="00924C62">
        <w:rPr>
          <w:sz w:val="24"/>
          <w:szCs w:val="24"/>
          <w:lang w:val="es-ES"/>
        </w:rPr>
        <w:t>ntes al 31 de diciembre del 2017</w:t>
      </w:r>
      <w:r w:rsidR="00CA2B1D">
        <w:rPr>
          <w:sz w:val="24"/>
          <w:szCs w:val="24"/>
          <w:lang w:val="es-ES"/>
        </w:rPr>
        <w:t>, 31</w:t>
      </w:r>
      <w:r w:rsidR="00924C62">
        <w:rPr>
          <w:sz w:val="24"/>
          <w:szCs w:val="24"/>
          <w:lang w:val="es-ES"/>
        </w:rPr>
        <w:t xml:space="preserve"> de marzo 2018, 30 de junio 2018</w:t>
      </w:r>
      <w:r w:rsidR="00CA2B1D">
        <w:rPr>
          <w:sz w:val="24"/>
          <w:szCs w:val="24"/>
          <w:lang w:val="es-ES"/>
        </w:rPr>
        <w:t xml:space="preserve"> y 30 de septiembre 201</w:t>
      </w:r>
      <w:r w:rsidR="00924C62">
        <w:rPr>
          <w:sz w:val="24"/>
          <w:szCs w:val="24"/>
          <w:lang w:val="es-ES"/>
        </w:rPr>
        <w:t>8</w:t>
      </w:r>
      <w:r w:rsidR="00346C5D">
        <w:rPr>
          <w:sz w:val="24"/>
          <w:szCs w:val="24"/>
          <w:lang w:val="es-ES"/>
        </w:rPr>
        <w:t xml:space="preserve"> y los dos </w:t>
      </w:r>
      <w:r w:rsidR="00876A23">
        <w:rPr>
          <w:sz w:val="24"/>
          <w:szCs w:val="24"/>
          <w:lang w:val="es-ES"/>
        </w:rPr>
        <w:t>últimos pendientes</w:t>
      </w:r>
      <w:r w:rsidR="005121A8">
        <w:rPr>
          <w:sz w:val="24"/>
          <w:szCs w:val="24"/>
          <w:lang w:val="es-ES"/>
        </w:rPr>
        <w:t xml:space="preserve"> de publicación.</w:t>
      </w:r>
    </w:p>
    <w:p w:rsidR="006F1EBB" w:rsidRDefault="006F1EBB" w:rsidP="006F1EBB">
      <w:pPr>
        <w:spacing w:line="360" w:lineRule="auto"/>
        <w:jc w:val="both"/>
        <w:rPr>
          <w:sz w:val="24"/>
          <w:szCs w:val="24"/>
          <w:lang w:val="es-ES"/>
        </w:rPr>
      </w:pPr>
    </w:p>
    <w:p w:rsidR="006F1EBB" w:rsidRDefault="006F1EBB" w:rsidP="006F1EB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disp</w:t>
      </w:r>
      <w:r w:rsidR="00924C62">
        <w:rPr>
          <w:sz w:val="24"/>
          <w:szCs w:val="24"/>
          <w:lang w:val="es-ES"/>
        </w:rPr>
        <w:t>uso la realización de veinte y nueve (29</w:t>
      </w:r>
      <w:r>
        <w:rPr>
          <w:sz w:val="24"/>
          <w:szCs w:val="24"/>
          <w:lang w:val="es-ES"/>
        </w:rPr>
        <w:t>) auditorías a las compañías aseguradoras y/o reasegurad</w:t>
      </w:r>
      <w:r w:rsidR="00924C62">
        <w:rPr>
          <w:sz w:val="24"/>
          <w:szCs w:val="24"/>
          <w:lang w:val="es-ES"/>
        </w:rPr>
        <w:t>oras de las cuales veinte</w:t>
      </w:r>
      <w:r w:rsidR="00346C5D">
        <w:rPr>
          <w:sz w:val="24"/>
          <w:szCs w:val="24"/>
          <w:lang w:val="es-ES"/>
        </w:rPr>
        <w:t xml:space="preserve"> (</w:t>
      </w:r>
      <w:r w:rsidR="00924C62">
        <w:rPr>
          <w:sz w:val="24"/>
          <w:szCs w:val="24"/>
          <w:lang w:val="es-ES"/>
        </w:rPr>
        <w:t>20</w:t>
      </w:r>
      <w:r w:rsidR="00876A23">
        <w:rPr>
          <w:sz w:val="24"/>
          <w:szCs w:val="24"/>
          <w:lang w:val="es-ES"/>
        </w:rPr>
        <w:t>) han</w:t>
      </w:r>
      <w:r w:rsidR="00924C62">
        <w:rPr>
          <w:sz w:val="24"/>
          <w:szCs w:val="24"/>
          <w:lang w:val="es-ES"/>
        </w:rPr>
        <w:t xml:space="preserve"> finalizado y nueve (9</w:t>
      </w:r>
      <w:r w:rsidR="00876A23">
        <w:rPr>
          <w:sz w:val="24"/>
          <w:szCs w:val="24"/>
          <w:lang w:val="es-ES"/>
        </w:rPr>
        <w:t>) se</w:t>
      </w:r>
      <w:r>
        <w:rPr>
          <w:sz w:val="24"/>
          <w:szCs w:val="24"/>
          <w:lang w:val="es-ES"/>
        </w:rPr>
        <w:t xml:space="preserve"> encuentra en proceso y la re</w:t>
      </w:r>
      <w:r w:rsidR="00B83663">
        <w:rPr>
          <w:sz w:val="24"/>
          <w:szCs w:val="24"/>
          <w:lang w:val="es-ES"/>
        </w:rPr>
        <w:t xml:space="preserve">alización de </w:t>
      </w:r>
      <w:r w:rsidR="00D72423" w:rsidRPr="00D72423">
        <w:rPr>
          <w:sz w:val="24"/>
          <w:szCs w:val="24"/>
          <w:lang w:val="es-ES"/>
        </w:rPr>
        <w:t>ciento nueve</w:t>
      </w:r>
      <w:r w:rsidR="00876A23" w:rsidRPr="00D72423">
        <w:rPr>
          <w:sz w:val="24"/>
          <w:szCs w:val="24"/>
          <w:lang w:val="es-ES"/>
        </w:rPr>
        <w:t xml:space="preserve"> (109</w:t>
      </w:r>
      <w:r w:rsidRPr="00D72423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 xml:space="preserve"> auditoria a igual número de Corredores de Seguros.</w:t>
      </w:r>
    </w:p>
    <w:p w:rsidR="006F1EBB" w:rsidRDefault="006F1EBB" w:rsidP="006F1EBB">
      <w:pPr>
        <w:spacing w:line="360" w:lineRule="auto"/>
        <w:jc w:val="both"/>
        <w:rPr>
          <w:sz w:val="24"/>
          <w:szCs w:val="24"/>
          <w:lang w:val="es-ES"/>
        </w:rPr>
      </w:pPr>
    </w:p>
    <w:p w:rsidR="006F1EBB" w:rsidRDefault="00346C5D" w:rsidP="006F1EB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Fue a</w:t>
      </w:r>
      <w:r w:rsidR="00B83663">
        <w:rPr>
          <w:sz w:val="24"/>
          <w:szCs w:val="24"/>
          <w:lang w:val="es-ES"/>
        </w:rPr>
        <w:t>prob</w:t>
      </w:r>
      <w:r>
        <w:rPr>
          <w:sz w:val="24"/>
          <w:szCs w:val="24"/>
          <w:lang w:val="es-ES"/>
        </w:rPr>
        <w:t>ado</w:t>
      </w:r>
      <w:r w:rsidR="00B83663">
        <w:rPr>
          <w:sz w:val="24"/>
          <w:szCs w:val="24"/>
          <w:lang w:val="es-ES"/>
        </w:rPr>
        <w:t xml:space="preserve"> un total de once (11</w:t>
      </w:r>
      <w:r w:rsidR="006F1EBB">
        <w:rPr>
          <w:sz w:val="24"/>
          <w:szCs w:val="24"/>
          <w:lang w:val="es-ES"/>
        </w:rPr>
        <w:t>) solicitudes para aumento de capital, cancelaciones, transferencias y suscripciones de acciones.</w:t>
      </w:r>
    </w:p>
    <w:p w:rsidR="006F1EBB" w:rsidRDefault="006F1EBB" w:rsidP="006F1EBB">
      <w:pPr>
        <w:spacing w:line="360" w:lineRule="auto"/>
        <w:jc w:val="both"/>
        <w:rPr>
          <w:sz w:val="24"/>
          <w:szCs w:val="24"/>
          <w:lang w:val="es-ES"/>
        </w:rPr>
      </w:pPr>
    </w:p>
    <w:p w:rsidR="006F1EBB" w:rsidRDefault="006F1EBB" w:rsidP="006F1EBB">
      <w:pPr>
        <w:spacing w:line="360" w:lineRule="auto"/>
        <w:jc w:val="both"/>
        <w:rPr>
          <w:sz w:val="24"/>
          <w:szCs w:val="24"/>
          <w:lang w:eastAsia="es-ES_tradnl"/>
        </w:rPr>
      </w:pPr>
      <w:r>
        <w:rPr>
          <w:sz w:val="24"/>
          <w:szCs w:val="24"/>
          <w:lang w:val="es-ES"/>
        </w:rPr>
        <w:lastRenderedPageBreak/>
        <w:t xml:space="preserve">Recibió </w:t>
      </w:r>
      <w:r w:rsidR="000B5925">
        <w:rPr>
          <w:sz w:val="24"/>
          <w:szCs w:val="24"/>
          <w:lang w:eastAsia="es-ES_tradnl"/>
        </w:rPr>
        <w:t xml:space="preserve">ciento </w:t>
      </w:r>
      <w:r w:rsidR="00985719">
        <w:rPr>
          <w:sz w:val="24"/>
          <w:szCs w:val="24"/>
          <w:lang w:eastAsia="es-ES_tradnl"/>
        </w:rPr>
        <w:t xml:space="preserve">veinte </w:t>
      </w:r>
      <w:r w:rsidR="000B5925">
        <w:rPr>
          <w:sz w:val="24"/>
          <w:szCs w:val="24"/>
          <w:lang w:eastAsia="es-ES_tradnl"/>
        </w:rPr>
        <w:t>y cinco (</w:t>
      </w:r>
      <w:r w:rsidR="00985719">
        <w:rPr>
          <w:sz w:val="24"/>
          <w:szCs w:val="24"/>
          <w:lang w:eastAsia="es-ES_tradnl"/>
        </w:rPr>
        <w:t>125</w:t>
      </w:r>
      <w:r>
        <w:rPr>
          <w:sz w:val="24"/>
          <w:szCs w:val="24"/>
          <w:lang w:eastAsia="es-ES_tradnl"/>
        </w:rPr>
        <w:t xml:space="preserve">) reportes de comisiones recibidas por los corredores de seguros, </w:t>
      </w:r>
      <w:r w:rsidR="00876A23">
        <w:rPr>
          <w:sz w:val="24"/>
          <w:szCs w:val="24"/>
          <w:lang w:eastAsia="es-ES_tradnl"/>
        </w:rPr>
        <w:t>tramitándose al</w:t>
      </w:r>
      <w:r>
        <w:rPr>
          <w:sz w:val="24"/>
          <w:szCs w:val="24"/>
          <w:lang w:eastAsia="es-ES_tradnl"/>
        </w:rPr>
        <w:t xml:space="preserve"> departamento correspondiente.</w:t>
      </w:r>
    </w:p>
    <w:p w:rsidR="006F1EBB" w:rsidRDefault="006F1EBB" w:rsidP="006F1EBB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eastAsia="es-ES_tradnl"/>
        </w:rPr>
      </w:pPr>
    </w:p>
    <w:p w:rsidR="006F1EBB" w:rsidRDefault="006F1EBB" w:rsidP="006F1EBB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eastAsia="es-ES_tradnl"/>
        </w:rPr>
        <w:t>Procedimos al re</w:t>
      </w:r>
      <w:r w:rsidR="00B80542">
        <w:rPr>
          <w:sz w:val="24"/>
          <w:szCs w:val="24"/>
          <w:lang w:eastAsia="es-ES_tradnl"/>
        </w:rPr>
        <w:t xml:space="preserve">gistro y autorización de </w:t>
      </w:r>
      <w:r w:rsidR="00985719">
        <w:rPr>
          <w:sz w:val="24"/>
          <w:szCs w:val="24"/>
          <w:lang w:eastAsia="es-ES_tradnl"/>
        </w:rPr>
        <w:t>ocho</w:t>
      </w:r>
      <w:r w:rsidR="00B80542">
        <w:rPr>
          <w:sz w:val="24"/>
          <w:szCs w:val="24"/>
          <w:lang w:eastAsia="es-ES_tradnl"/>
        </w:rPr>
        <w:t xml:space="preserve"> (</w:t>
      </w:r>
      <w:r w:rsidR="00985719">
        <w:rPr>
          <w:sz w:val="24"/>
          <w:szCs w:val="24"/>
          <w:lang w:eastAsia="es-ES_tradnl"/>
        </w:rPr>
        <w:t>8</w:t>
      </w:r>
      <w:r w:rsidRPr="00007A28">
        <w:rPr>
          <w:sz w:val="24"/>
          <w:szCs w:val="24"/>
          <w:lang w:eastAsia="es-ES_tradnl"/>
        </w:rPr>
        <w:t>)</w:t>
      </w:r>
      <w:r>
        <w:rPr>
          <w:b/>
          <w:sz w:val="24"/>
          <w:szCs w:val="24"/>
          <w:lang w:eastAsia="es-ES_tradnl"/>
        </w:rPr>
        <w:t xml:space="preserve"> </w:t>
      </w:r>
      <w:r>
        <w:rPr>
          <w:sz w:val="24"/>
          <w:szCs w:val="24"/>
          <w:lang w:eastAsia="es-ES_tradnl"/>
        </w:rPr>
        <w:t>reaseguradores aceptados no radicados y a la actualización</w:t>
      </w:r>
      <w:r w:rsidRPr="00F5543D">
        <w:rPr>
          <w:sz w:val="24"/>
          <w:szCs w:val="24"/>
          <w:lang w:val="es-ES" w:eastAsia="es-ES_tradnl"/>
        </w:rPr>
        <w:t xml:space="preserve"> </w:t>
      </w:r>
      <w:r w:rsidR="00815BEF">
        <w:rPr>
          <w:sz w:val="24"/>
          <w:szCs w:val="24"/>
          <w:lang w:val="es-ES" w:eastAsia="es-ES_tradnl"/>
        </w:rPr>
        <w:t xml:space="preserve">de </w:t>
      </w:r>
      <w:r w:rsidR="002D411D">
        <w:rPr>
          <w:sz w:val="24"/>
          <w:szCs w:val="24"/>
          <w:lang w:val="es-ES" w:eastAsia="es-ES_tradnl"/>
        </w:rPr>
        <w:t xml:space="preserve">noventa y tres </w:t>
      </w:r>
      <w:r w:rsidRPr="00F55803">
        <w:rPr>
          <w:sz w:val="24"/>
          <w:szCs w:val="24"/>
          <w:lang w:val="es-ES" w:eastAsia="es-ES_tradnl"/>
        </w:rPr>
        <w:t>(</w:t>
      </w:r>
      <w:r w:rsidR="002D411D">
        <w:rPr>
          <w:sz w:val="24"/>
          <w:szCs w:val="24"/>
          <w:lang w:val="es-ES" w:eastAsia="es-ES_tradnl"/>
        </w:rPr>
        <w:t>93</w:t>
      </w:r>
      <w:r w:rsidRPr="00F5543D">
        <w:rPr>
          <w:b/>
          <w:sz w:val="24"/>
          <w:szCs w:val="24"/>
          <w:lang w:val="es-ES" w:eastAsia="es-ES_tradnl"/>
        </w:rPr>
        <w:t xml:space="preserve">) </w:t>
      </w:r>
      <w:r w:rsidRPr="00F5543D">
        <w:rPr>
          <w:sz w:val="24"/>
          <w:szCs w:val="24"/>
          <w:lang w:val="es-ES" w:eastAsia="es-ES_tradnl"/>
        </w:rPr>
        <w:t>rea</w:t>
      </w:r>
      <w:r>
        <w:rPr>
          <w:sz w:val="24"/>
          <w:szCs w:val="24"/>
          <w:lang w:eastAsia="es-ES_tradnl"/>
        </w:rPr>
        <w:t>seguradores, con el objetivo de realizar operaciones de reaseguros con las compañías cedentes</w:t>
      </w:r>
      <w:r w:rsidR="00815BEF">
        <w:rPr>
          <w:sz w:val="24"/>
          <w:szCs w:val="24"/>
          <w:lang w:eastAsia="es-ES_tradnl"/>
        </w:rPr>
        <w:t>,</w:t>
      </w:r>
      <w:r>
        <w:rPr>
          <w:sz w:val="24"/>
          <w:szCs w:val="24"/>
          <w:lang w:eastAsia="es-ES_tradnl"/>
        </w:rPr>
        <w:t xml:space="preserve"> </w:t>
      </w:r>
      <w:r w:rsidR="00815BEF">
        <w:rPr>
          <w:sz w:val="24"/>
          <w:szCs w:val="24"/>
          <w:lang w:eastAsia="es-ES_tradnl"/>
        </w:rPr>
        <w:t xml:space="preserve">y se recibieron y analizaron los contratos </w:t>
      </w:r>
      <w:r w:rsidR="00A954B8">
        <w:rPr>
          <w:sz w:val="24"/>
          <w:szCs w:val="24"/>
          <w:lang w:eastAsia="es-ES_tradnl"/>
        </w:rPr>
        <w:t>automáticos</w:t>
      </w:r>
      <w:r w:rsidR="00815BEF">
        <w:rPr>
          <w:sz w:val="24"/>
          <w:szCs w:val="24"/>
          <w:lang w:eastAsia="es-ES_tradnl"/>
        </w:rPr>
        <w:t xml:space="preserve"> de reaseguros proporcionales y no proporcionales, con</w:t>
      </w:r>
      <w:r w:rsidR="00B80542">
        <w:rPr>
          <w:sz w:val="24"/>
          <w:szCs w:val="24"/>
          <w:lang w:eastAsia="es-ES_tradnl"/>
        </w:rPr>
        <w:t xml:space="preserve"> vigencia 2018-2019 de diez (10</w:t>
      </w:r>
      <w:r w:rsidR="00815BEF">
        <w:rPr>
          <w:sz w:val="24"/>
          <w:szCs w:val="24"/>
          <w:lang w:eastAsia="es-ES_tradnl"/>
        </w:rPr>
        <w:t>) compañías de seguros.</w:t>
      </w:r>
    </w:p>
    <w:p w:rsidR="006F1EBB" w:rsidRDefault="006F1EBB" w:rsidP="006F1EBB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6F1EBB" w:rsidRDefault="006F1EBB" w:rsidP="006F1EB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dirección de Recursos Humanos a través de la unidad de </w:t>
      </w:r>
      <w:r w:rsidR="00876A23">
        <w:rPr>
          <w:sz w:val="24"/>
          <w:szCs w:val="24"/>
          <w:lang w:val="es-ES"/>
        </w:rPr>
        <w:t>capacitación en</w:t>
      </w:r>
      <w:r>
        <w:rPr>
          <w:sz w:val="24"/>
          <w:szCs w:val="24"/>
          <w:lang w:val="es-ES"/>
        </w:rPr>
        <w:t xml:space="preserve"> cumplimiento a su programa de capacitación a su personal </w:t>
      </w:r>
      <w:r w:rsidR="004364A1">
        <w:rPr>
          <w:sz w:val="24"/>
          <w:szCs w:val="24"/>
          <w:lang w:val="es-ES"/>
        </w:rPr>
        <w:t>ha impartido treinta y cuatro (34</w:t>
      </w:r>
      <w:r w:rsidR="006514C6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 xml:space="preserve"> eventos en diferentes áreas</w:t>
      </w:r>
      <w:r w:rsidR="00052C36">
        <w:rPr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 xml:space="preserve"> </w:t>
      </w:r>
    </w:p>
    <w:p w:rsidR="004B5889" w:rsidRPr="00EF35B7" w:rsidRDefault="004B5889" w:rsidP="006F1EBB">
      <w:pPr>
        <w:spacing w:line="360" w:lineRule="auto"/>
        <w:jc w:val="both"/>
        <w:rPr>
          <w:color w:val="FF0000"/>
          <w:sz w:val="24"/>
          <w:szCs w:val="24"/>
          <w:lang w:val="es-ES"/>
        </w:rPr>
      </w:pPr>
    </w:p>
    <w:p w:rsidR="0072737C" w:rsidRDefault="00B37854" w:rsidP="006F1EB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i</w:t>
      </w:r>
      <w:r w:rsidR="004B5889">
        <w:rPr>
          <w:sz w:val="24"/>
          <w:szCs w:val="24"/>
          <w:lang w:val="es-ES"/>
        </w:rPr>
        <w:t>mpartió tres (3</w:t>
      </w:r>
      <w:r w:rsidR="004B5889" w:rsidRPr="00A01361">
        <w:rPr>
          <w:sz w:val="24"/>
          <w:szCs w:val="24"/>
          <w:lang w:val="es-ES"/>
        </w:rPr>
        <w:t xml:space="preserve">) </w:t>
      </w:r>
      <w:r w:rsidR="004B5889">
        <w:rPr>
          <w:sz w:val="24"/>
          <w:szCs w:val="24"/>
          <w:lang w:val="es-ES"/>
        </w:rPr>
        <w:t xml:space="preserve">eventos de </w:t>
      </w:r>
      <w:r w:rsidR="004B5889" w:rsidRPr="00A01361">
        <w:rPr>
          <w:sz w:val="24"/>
          <w:szCs w:val="24"/>
          <w:lang w:val="es-ES"/>
        </w:rPr>
        <w:t xml:space="preserve">exámenes </w:t>
      </w:r>
      <w:r w:rsidR="004B5889" w:rsidRPr="009A5CF5">
        <w:rPr>
          <w:sz w:val="24"/>
          <w:szCs w:val="24"/>
          <w:lang w:val="es-ES"/>
        </w:rPr>
        <w:t>a</w:t>
      </w:r>
      <w:r w:rsidR="004B5889" w:rsidRPr="00E467C0">
        <w:rPr>
          <w:sz w:val="24"/>
          <w:szCs w:val="24"/>
          <w:lang w:val="es-ES"/>
        </w:rPr>
        <w:t xml:space="preserve"> intermediarios </w:t>
      </w:r>
      <w:r>
        <w:rPr>
          <w:sz w:val="24"/>
          <w:szCs w:val="24"/>
          <w:lang w:val="es-ES"/>
        </w:rPr>
        <w:t xml:space="preserve">de seguros </w:t>
      </w:r>
      <w:r w:rsidR="004B5889">
        <w:rPr>
          <w:sz w:val="24"/>
          <w:szCs w:val="24"/>
          <w:lang w:val="es-ES"/>
        </w:rPr>
        <w:t xml:space="preserve">para un total de </w:t>
      </w:r>
      <w:r w:rsidR="006D1236">
        <w:rPr>
          <w:sz w:val="24"/>
          <w:szCs w:val="24"/>
          <w:lang w:val="es-ES"/>
        </w:rPr>
        <w:t xml:space="preserve">cuatrocientos </w:t>
      </w:r>
      <w:r w:rsidR="00876A23">
        <w:rPr>
          <w:sz w:val="24"/>
          <w:szCs w:val="24"/>
          <w:lang w:val="es-ES"/>
        </w:rPr>
        <w:t>catorce (</w:t>
      </w:r>
      <w:r w:rsidR="006D1236">
        <w:rPr>
          <w:sz w:val="24"/>
          <w:szCs w:val="24"/>
          <w:lang w:val="es-ES"/>
        </w:rPr>
        <w:t>414</w:t>
      </w:r>
      <w:r w:rsidR="00876A23">
        <w:rPr>
          <w:sz w:val="24"/>
          <w:szCs w:val="24"/>
          <w:lang w:val="es-ES"/>
        </w:rPr>
        <w:t>) participantes</w:t>
      </w:r>
      <w:r w:rsidR="004B5889">
        <w:rPr>
          <w:sz w:val="24"/>
          <w:szCs w:val="24"/>
          <w:lang w:val="es-ES"/>
        </w:rPr>
        <w:t>.</w:t>
      </w:r>
    </w:p>
    <w:p w:rsidR="004B5889" w:rsidRDefault="004B5889" w:rsidP="006F1EBB">
      <w:pPr>
        <w:spacing w:line="360" w:lineRule="auto"/>
        <w:jc w:val="both"/>
        <w:rPr>
          <w:sz w:val="24"/>
          <w:szCs w:val="24"/>
          <w:lang w:eastAsia="es-ES_tradnl"/>
        </w:rPr>
      </w:pPr>
    </w:p>
    <w:p w:rsidR="006F1EBB" w:rsidRDefault="0051223C" w:rsidP="006F1EB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eastAsia="es-ES_tradnl"/>
        </w:rPr>
        <w:t xml:space="preserve">Fue celebrado </w:t>
      </w:r>
      <w:r w:rsidR="00B37854">
        <w:rPr>
          <w:sz w:val="24"/>
          <w:szCs w:val="24"/>
          <w:lang w:val="es-ES" w:eastAsia="es-ES_tradnl"/>
        </w:rPr>
        <w:t xml:space="preserve">el 49 aniversario de la Superintendencia de Seguros, </w:t>
      </w:r>
      <w:r>
        <w:rPr>
          <w:sz w:val="24"/>
          <w:szCs w:val="24"/>
          <w:lang w:eastAsia="es-ES_tradnl"/>
        </w:rPr>
        <w:t xml:space="preserve">el </w:t>
      </w:r>
      <w:r w:rsidR="00A954B8">
        <w:rPr>
          <w:sz w:val="24"/>
          <w:szCs w:val="24"/>
          <w:lang w:eastAsia="es-ES_tradnl"/>
        </w:rPr>
        <w:t>día</w:t>
      </w:r>
      <w:r>
        <w:rPr>
          <w:sz w:val="24"/>
          <w:szCs w:val="24"/>
          <w:lang w:eastAsia="es-ES_tradnl"/>
        </w:rPr>
        <w:t xml:space="preserve"> internacional del derecho a </w:t>
      </w:r>
      <w:r w:rsidR="00876A23">
        <w:rPr>
          <w:sz w:val="24"/>
          <w:szCs w:val="24"/>
          <w:lang w:eastAsia="es-ES_tradnl"/>
        </w:rPr>
        <w:t>saber</w:t>
      </w:r>
      <w:r w:rsidR="00876A23">
        <w:rPr>
          <w:sz w:val="24"/>
          <w:szCs w:val="24"/>
          <w:lang w:val="es-ES" w:eastAsia="es-ES_tradnl"/>
        </w:rPr>
        <w:t>, el</w:t>
      </w:r>
      <w:r w:rsidR="00B37854">
        <w:rPr>
          <w:sz w:val="24"/>
          <w:szCs w:val="24"/>
          <w:lang w:val="es-ES" w:eastAsia="es-ES_tradnl"/>
        </w:rPr>
        <w:t xml:space="preserve"> día de las secretarias, la </w:t>
      </w:r>
      <w:r>
        <w:rPr>
          <w:sz w:val="24"/>
          <w:szCs w:val="24"/>
          <w:lang w:val="es-ES" w:eastAsia="es-ES_tradnl"/>
        </w:rPr>
        <w:t>continuidad a la lucha contra el</w:t>
      </w:r>
      <w:r w:rsidR="00B37854">
        <w:rPr>
          <w:sz w:val="24"/>
          <w:szCs w:val="24"/>
          <w:lang w:val="es-ES" w:eastAsia="es-ES_tradnl"/>
        </w:rPr>
        <w:t xml:space="preserve"> </w:t>
      </w:r>
      <w:r>
        <w:rPr>
          <w:sz w:val="24"/>
          <w:szCs w:val="24"/>
          <w:lang w:val="es-ES" w:eastAsia="es-ES_tradnl"/>
        </w:rPr>
        <w:t>Cáncer de mama,</w:t>
      </w:r>
      <w:r w:rsidR="008954BA">
        <w:rPr>
          <w:sz w:val="24"/>
          <w:szCs w:val="24"/>
          <w:lang w:val="es-ES" w:eastAsia="es-ES_tradnl"/>
        </w:rPr>
        <w:t xml:space="preserve"> </w:t>
      </w:r>
      <w:r w:rsidR="00B37854">
        <w:rPr>
          <w:sz w:val="24"/>
          <w:szCs w:val="24"/>
          <w:lang w:val="es-ES" w:eastAsia="es-ES_tradnl"/>
        </w:rPr>
        <w:t xml:space="preserve">y del </w:t>
      </w:r>
      <w:r w:rsidR="004B5889">
        <w:rPr>
          <w:sz w:val="24"/>
          <w:szCs w:val="24"/>
          <w:lang w:val="es-ES"/>
        </w:rPr>
        <w:t xml:space="preserve">programa </w:t>
      </w:r>
      <w:r w:rsidR="006F1EBB">
        <w:rPr>
          <w:sz w:val="24"/>
          <w:szCs w:val="24"/>
          <w:lang w:val="es-ES"/>
        </w:rPr>
        <w:t>de Empleado Feliz con el Banco de Reservas.</w:t>
      </w:r>
    </w:p>
    <w:p w:rsidR="006F1EBB" w:rsidRDefault="006F1EBB" w:rsidP="006F1EBB">
      <w:pPr>
        <w:shd w:val="clear" w:color="auto" w:fill="FFFFFF"/>
        <w:spacing w:line="288" w:lineRule="atLeast"/>
        <w:jc w:val="both"/>
        <w:rPr>
          <w:color w:val="222222"/>
          <w:sz w:val="14"/>
          <w:szCs w:val="14"/>
          <w:lang w:val="es-ES"/>
        </w:rPr>
      </w:pPr>
      <w:r w:rsidRPr="00921107">
        <w:rPr>
          <w:color w:val="222222"/>
          <w:sz w:val="14"/>
          <w:szCs w:val="14"/>
          <w:lang w:val="es-ES"/>
        </w:rPr>
        <w:t> </w:t>
      </w:r>
    </w:p>
    <w:p w:rsidR="006F1EBB" w:rsidRDefault="006F1EBB" w:rsidP="006F1EBB">
      <w:pPr>
        <w:shd w:val="clear" w:color="auto" w:fill="FFFFFF"/>
        <w:spacing w:line="360" w:lineRule="auto"/>
        <w:jc w:val="both"/>
        <w:rPr>
          <w:color w:val="222222"/>
          <w:sz w:val="24"/>
          <w:szCs w:val="24"/>
          <w:lang w:val="es-ES"/>
        </w:rPr>
      </w:pPr>
      <w:r>
        <w:rPr>
          <w:color w:val="222222"/>
          <w:sz w:val="24"/>
          <w:szCs w:val="24"/>
          <w:lang w:val="es-ES"/>
        </w:rPr>
        <w:t>Se</w:t>
      </w:r>
      <w:r w:rsidRPr="00921107">
        <w:rPr>
          <w:color w:val="222222"/>
          <w:sz w:val="24"/>
          <w:szCs w:val="24"/>
          <w:lang w:val="es-ES"/>
        </w:rPr>
        <w:t xml:space="preserve"> </w:t>
      </w:r>
      <w:r w:rsidR="00876A23">
        <w:rPr>
          <w:color w:val="222222"/>
          <w:sz w:val="24"/>
          <w:szCs w:val="24"/>
          <w:lang w:val="es-ES"/>
        </w:rPr>
        <w:t>siguió el</w:t>
      </w:r>
      <w:r w:rsidRPr="00921107">
        <w:rPr>
          <w:color w:val="222222"/>
          <w:sz w:val="24"/>
          <w:szCs w:val="24"/>
          <w:lang w:val="es-ES"/>
        </w:rPr>
        <w:t xml:space="preserve"> proceso de compras de bienes y servicios, siendo más ef</w:t>
      </w:r>
      <w:r w:rsidR="00B80542">
        <w:rPr>
          <w:color w:val="222222"/>
          <w:sz w:val="24"/>
          <w:szCs w:val="24"/>
          <w:lang w:val="es-ES"/>
        </w:rPr>
        <w:t xml:space="preserve">iciente y transparente </w:t>
      </w:r>
      <w:r w:rsidR="004B5889">
        <w:rPr>
          <w:color w:val="222222"/>
          <w:sz w:val="24"/>
          <w:szCs w:val="24"/>
          <w:lang w:val="es-ES"/>
        </w:rPr>
        <w:t>debido a</w:t>
      </w:r>
      <w:r w:rsidR="00B80542">
        <w:rPr>
          <w:color w:val="222222"/>
          <w:sz w:val="24"/>
          <w:szCs w:val="24"/>
          <w:lang w:val="es-ES"/>
        </w:rPr>
        <w:t xml:space="preserve"> </w:t>
      </w:r>
      <w:r w:rsidRPr="00921107">
        <w:rPr>
          <w:color w:val="222222"/>
          <w:sz w:val="24"/>
          <w:szCs w:val="24"/>
          <w:lang w:val="es-ES"/>
        </w:rPr>
        <w:t>la implementación del sistema de información financiera del estado (SIGEF)</w:t>
      </w:r>
      <w:r>
        <w:rPr>
          <w:color w:val="222222"/>
          <w:sz w:val="24"/>
          <w:szCs w:val="24"/>
          <w:lang w:val="es-ES"/>
        </w:rPr>
        <w:t>.</w:t>
      </w:r>
    </w:p>
    <w:p w:rsidR="002B7F13" w:rsidRDefault="002B7F13" w:rsidP="006F1EBB">
      <w:pPr>
        <w:shd w:val="clear" w:color="auto" w:fill="FFFFFF"/>
        <w:spacing w:line="360" w:lineRule="auto"/>
        <w:jc w:val="both"/>
        <w:rPr>
          <w:color w:val="222222"/>
          <w:sz w:val="24"/>
          <w:szCs w:val="24"/>
          <w:lang w:val="es-ES"/>
        </w:rPr>
      </w:pPr>
      <w:r>
        <w:rPr>
          <w:color w:val="222222"/>
          <w:sz w:val="24"/>
          <w:szCs w:val="24"/>
          <w:lang w:val="es-ES"/>
        </w:rPr>
        <w:t xml:space="preserve">   </w:t>
      </w:r>
    </w:p>
    <w:p w:rsidR="006F1EBB" w:rsidRPr="00921107" w:rsidRDefault="006F1EBB" w:rsidP="006F1EBB">
      <w:pPr>
        <w:shd w:val="clear" w:color="auto" w:fill="FFFFFF"/>
        <w:spacing w:line="360" w:lineRule="auto"/>
        <w:jc w:val="both"/>
        <w:rPr>
          <w:color w:val="222222"/>
          <w:sz w:val="19"/>
          <w:szCs w:val="19"/>
          <w:lang w:val="es-ES"/>
        </w:rPr>
      </w:pPr>
      <w:r w:rsidRPr="00921107">
        <w:rPr>
          <w:color w:val="222222"/>
          <w:sz w:val="14"/>
          <w:szCs w:val="14"/>
          <w:lang w:val="es-ES"/>
        </w:rPr>
        <w:t> </w:t>
      </w:r>
      <w:r>
        <w:rPr>
          <w:color w:val="222222"/>
          <w:sz w:val="24"/>
          <w:szCs w:val="24"/>
          <w:lang w:val="es-ES"/>
        </w:rPr>
        <w:t xml:space="preserve">Se procedió a la renovación </w:t>
      </w:r>
      <w:r w:rsidRPr="00921107">
        <w:rPr>
          <w:color w:val="222222"/>
          <w:sz w:val="24"/>
          <w:szCs w:val="24"/>
          <w:lang w:val="es-ES"/>
        </w:rPr>
        <w:t>de</w:t>
      </w:r>
      <w:r>
        <w:rPr>
          <w:color w:val="222222"/>
          <w:sz w:val="24"/>
          <w:szCs w:val="24"/>
          <w:lang w:val="es-ES"/>
        </w:rPr>
        <w:t xml:space="preserve"> los </w:t>
      </w:r>
      <w:r w:rsidRPr="00921107">
        <w:rPr>
          <w:color w:val="222222"/>
          <w:sz w:val="24"/>
          <w:szCs w:val="24"/>
          <w:lang w:val="es-ES"/>
        </w:rPr>
        <w:t>contratos de diferentes empresas que prestan servicios</w:t>
      </w:r>
      <w:r>
        <w:rPr>
          <w:color w:val="222222"/>
          <w:sz w:val="24"/>
          <w:szCs w:val="24"/>
          <w:lang w:val="es-ES"/>
        </w:rPr>
        <w:t xml:space="preserve"> a la superintendencia</w:t>
      </w:r>
      <w:r w:rsidR="002B7F13">
        <w:rPr>
          <w:color w:val="222222"/>
          <w:sz w:val="24"/>
          <w:szCs w:val="24"/>
          <w:lang w:val="es-ES"/>
        </w:rPr>
        <w:t xml:space="preserve"> y rehabilitación del estadio de Softball.</w:t>
      </w:r>
    </w:p>
    <w:p w:rsidR="006F1EBB" w:rsidRDefault="006F1EBB" w:rsidP="006F1EBB">
      <w:pPr>
        <w:shd w:val="clear" w:color="auto" w:fill="FFFFFF"/>
        <w:spacing w:line="360" w:lineRule="auto"/>
        <w:jc w:val="both"/>
        <w:rPr>
          <w:color w:val="222222"/>
          <w:sz w:val="19"/>
          <w:szCs w:val="19"/>
          <w:lang w:val="es-ES"/>
        </w:rPr>
      </w:pPr>
      <w:r>
        <w:rPr>
          <w:color w:val="222222"/>
          <w:sz w:val="24"/>
          <w:szCs w:val="24"/>
          <w:lang w:val="es-ES"/>
        </w:rPr>
        <w:t xml:space="preserve"> </w:t>
      </w:r>
    </w:p>
    <w:p w:rsidR="006F1EBB" w:rsidRDefault="006F1EBB" w:rsidP="006F1EBB">
      <w:pPr>
        <w:shd w:val="clear" w:color="auto" w:fill="FFFFFF"/>
        <w:spacing w:line="360" w:lineRule="auto"/>
        <w:jc w:val="both"/>
        <w:rPr>
          <w:color w:val="222222"/>
          <w:sz w:val="24"/>
          <w:szCs w:val="24"/>
          <w:lang w:val="es-ES"/>
        </w:rPr>
      </w:pPr>
      <w:r w:rsidRPr="00921107">
        <w:rPr>
          <w:color w:val="222222"/>
          <w:sz w:val="24"/>
          <w:szCs w:val="24"/>
          <w:lang w:val="es-ES"/>
        </w:rPr>
        <w:t xml:space="preserve">La sección de suministro ha implementado un nuevo sistema operativo el cual ha logrado actualizar el programa de inventarios, pudiendo suplir las necesidades de cada departamento a la mayor </w:t>
      </w:r>
      <w:r w:rsidR="00876A23" w:rsidRPr="00921107">
        <w:rPr>
          <w:color w:val="222222"/>
          <w:sz w:val="24"/>
          <w:szCs w:val="24"/>
          <w:lang w:val="es-ES"/>
        </w:rPr>
        <w:t>brevedad,</w:t>
      </w:r>
      <w:r>
        <w:rPr>
          <w:color w:val="222222"/>
          <w:sz w:val="24"/>
          <w:szCs w:val="24"/>
          <w:lang w:val="es-ES"/>
        </w:rPr>
        <w:t xml:space="preserve"> así como también se mantuvo la vigilancia a las oficinas</w:t>
      </w:r>
      <w:r w:rsidRPr="00921107">
        <w:rPr>
          <w:color w:val="222222"/>
          <w:sz w:val="24"/>
          <w:szCs w:val="24"/>
          <w:lang w:val="es-ES"/>
        </w:rPr>
        <w:t>.</w:t>
      </w:r>
    </w:p>
    <w:p w:rsidR="006F1EBB" w:rsidRDefault="006F1EBB" w:rsidP="006F1EBB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6F1EBB" w:rsidRDefault="006F1EBB" w:rsidP="006F1EB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 w:eastAsia="es-ES_tradnl"/>
        </w:rPr>
        <w:t xml:space="preserve">Se </w:t>
      </w:r>
      <w:r w:rsidR="00876A23">
        <w:rPr>
          <w:sz w:val="24"/>
          <w:szCs w:val="24"/>
          <w:lang w:val="es-ES" w:eastAsia="es-ES_tradnl"/>
        </w:rPr>
        <w:t>continuó</w:t>
      </w:r>
      <w:r>
        <w:rPr>
          <w:sz w:val="24"/>
          <w:szCs w:val="24"/>
          <w:lang w:val="es-ES" w:eastAsia="es-ES_tradnl"/>
        </w:rPr>
        <w:t xml:space="preserve"> el proceso de liquidación forzosa y de autoliquidación de </w:t>
      </w:r>
      <w:r w:rsidR="004364A1">
        <w:rPr>
          <w:sz w:val="24"/>
          <w:szCs w:val="24"/>
          <w:lang w:val="es-ES" w:eastAsia="es-ES_tradnl"/>
        </w:rPr>
        <w:t>dieciocho</w:t>
      </w:r>
      <w:r>
        <w:rPr>
          <w:sz w:val="24"/>
          <w:szCs w:val="24"/>
          <w:lang w:val="es-ES" w:eastAsia="es-ES_tradnl"/>
        </w:rPr>
        <w:t xml:space="preserve"> </w:t>
      </w:r>
      <w:r w:rsidRPr="005C0F28">
        <w:rPr>
          <w:sz w:val="24"/>
          <w:szCs w:val="24"/>
          <w:lang w:val="es-ES" w:eastAsia="es-ES_tradnl"/>
        </w:rPr>
        <w:t>(</w:t>
      </w:r>
      <w:r w:rsidR="004364A1">
        <w:rPr>
          <w:sz w:val="24"/>
          <w:szCs w:val="24"/>
          <w:lang w:val="es-ES" w:eastAsia="es-ES_tradnl"/>
        </w:rPr>
        <w:t>18</w:t>
      </w:r>
      <w:r w:rsidRPr="005C0F28">
        <w:rPr>
          <w:sz w:val="24"/>
          <w:szCs w:val="24"/>
          <w:lang w:val="es-ES" w:eastAsia="es-ES_tradnl"/>
        </w:rPr>
        <w:t>)</w:t>
      </w:r>
      <w:r>
        <w:rPr>
          <w:sz w:val="24"/>
          <w:szCs w:val="24"/>
          <w:lang w:val="es-ES" w:eastAsia="es-ES_tradnl"/>
        </w:rPr>
        <w:t xml:space="preserve"> compañías </w:t>
      </w:r>
      <w:r w:rsidR="004364A1">
        <w:rPr>
          <w:sz w:val="24"/>
          <w:szCs w:val="24"/>
          <w:lang w:val="es-ES" w:eastAsia="es-ES_tradnl"/>
        </w:rPr>
        <w:t>de seguros de las cuales quince</w:t>
      </w:r>
      <w:r>
        <w:rPr>
          <w:sz w:val="24"/>
          <w:szCs w:val="24"/>
          <w:lang w:val="es-ES" w:eastAsia="es-ES_tradnl"/>
        </w:rPr>
        <w:t xml:space="preserve"> son </w:t>
      </w:r>
      <w:r w:rsidR="00704FCA">
        <w:rPr>
          <w:sz w:val="24"/>
          <w:szCs w:val="24"/>
          <w:lang w:val="es-ES" w:eastAsia="es-ES_tradnl"/>
        </w:rPr>
        <w:t>forzosas</w:t>
      </w:r>
      <w:r>
        <w:rPr>
          <w:sz w:val="24"/>
          <w:szCs w:val="24"/>
          <w:lang w:val="es-ES" w:eastAsia="es-ES_tradnl"/>
        </w:rPr>
        <w:t xml:space="preserve"> y tres de autoliquidación, realizando pagos a reclamantes de primas no consumidas por un monto de</w:t>
      </w:r>
      <w:r>
        <w:rPr>
          <w:sz w:val="24"/>
          <w:szCs w:val="24"/>
          <w:lang w:val="es-ES"/>
        </w:rPr>
        <w:t xml:space="preserve"> </w:t>
      </w:r>
      <w:r w:rsidRPr="005B4D36">
        <w:rPr>
          <w:sz w:val="24"/>
          <w:szCs w:val="24"/>
          <w:lang w:val="es-ES"/>
        </w:rPr>
        <w:t>RD$</w:t>
      </w:r>
      <w:r w:rsidR="00184BA7">
        <w:rPr>
          <w:sz w:val="24"/>
          <w:szCs w:val="24"/>
          <w:lang w:val="es-ES"/>
        </w:rPr>
        <w:t>47,094.78</w:t>
      </w:r>
      <w:r w:rsidRPr="005B4D36">
        <w:rPr>
          <w:sz w:val="24"/>
          <w:szCs w:val="24"/>
          <w:lang w:val="es-ES"/>
        </w:rPr>
        <w:t xml:space="preserve"> (</w:t>
      </w:r>
      <w:r w:rsidR="00184BA7">
        <w:rPr>
          <w:sz w:val="24"/>
          <w:szCs w:val="24"/>
          <w:lang w:val="es-ES"/>
        </w:rPr>
        <w:t>cuarenta y siete mil noventa y cuatro pesos con 78/100)</w:t>
      </w:r>
    </w:p>
    <w:p w:rsidR="006F1EBB" w:rsidRDefault="006F1EBB" w:rsidP="006F1EBB">
      <w:pPr>
        <w:spacing w:line="360" w:lineRule="auto"/>
        <w:jc w:val="both"/>
        <w:rPr>
          <w:sz w:val="24"/>
          <w:szCs w:val="24"/>
          <w:lang w:val="es-ES"/>
        </w:rPr>
      </w:pPr>
    </w:p>
    <w:p w:rsidR="00BA4D7E" w:rsidRDefault="006F1EBB" w:rsidP="00BA4D7E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Hemos trabajado en el mantenimiento de </w:t>
      </w:r>
      <w:r w:rsidR="00B37854">
        <w:rPr>
          <w:sz w:val="24"/>
          <w:szCs w:val="24"/>
          <w:lang w:val="es-ES"/>
        </w:rPr>
        <w:t>los sistemas informáticos de la Superintendencia</w:t>
      </w:r>
      <w:r>
        <w:rPr>
          <w:sz w:val="24"/>
          <w:szCs w:val="24"/>
          <w:lang w:val="es-ES"/>
        </w:rPr>
        <w:t xml:space="preserve">, en la elaboración de reportes pedidos por los usuarios interesados, entrenamientos a usuarios en diferentes sistemas, soporte a las compañías aseguradoras y reaseguradoras, análisis diseño </w:t>
      </w:r>
      <w:r w:rsidR="00F11997">
        <w:rPr>
          <w:sz w:val="24"/>
          <w:szCs w:val="24"/>
          <w:lang w:val="es-ES"/>
        </w:rPr>
        <w:t xml:space="preserve">y actualización del sistema de suministros, sustitución de los sistemas de Recursos Humanos, Nomina y Seguros Medico, así como la  </w:t>
      </w:r>
      <w:r w:rsidR="00A954B8">
        <w:rPr>
          <w:sz w:val="24"/>
          <w:szCs w:val="24"/>
          <w:lang w:val="es-ES"/>
        </w:rPr>
        <w:t>Certificación</w:t>
      </w:r>
      <w:r w:rsidR="00BA4D7E">
        <w:rPr>
          <w:sz w:val="24"/>
          <w:szCs w:val="24"/>
          <w:lang w:val="es-ES"/>
        </w:rPr>
        <w:t xml:space="preserve"> del Portal Institucional, hemos instalado la red informática  intranet orientado a digital las informaciones de la oficina.</w:t>
      </w:r>
    </w:p>
    <w:p w:rsidR="0072737C" w:rsidRDefault="0072737C" w:rsidP="006F1EBB">
      <w:pPr>
        <w:spacing w:line="360" w:lineRule="auto"/>
        <w:jc w:val="both"/>
        <w:rPr>
          <w:sz w:val="24"/>
          <w:szCs w:val="24"/>
          <w:lang w:val="es-ES"/>
        </w:rPr>
      </w:pPr>
    </w:p>
    <w:p w:rsidR="006F1EBB" w:rsidRDefault="006F1EBB" w:rsidP="006F1EB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La oficina de libre acceso a la información r</w:t>
      </w:r>
      <w:r w:rsidR="0006721E">
        <w:rPr>
          <w:sz w:val="24"/>
          <w:szCs w:val="24"/>
          <w:lang w:val="es-ES"/>
        </w:rPr>
        <w:t>ecibió un total de veinti</w:t>
      </w:r>
      <w:r w:rsidR="00772A42">
        <w:rPr>
          <w:sz w:val="24"/>
          <w:szCs w:val="24"/>
          <w:lang w:val="es-ES"/>
        </w:rPr>
        <w:t xml:space="preserve">siete </w:t>
      </w:r>
      <w:r w:rsidR="0006721E">
        <w:rPr>
          <w:sz w:val="24"/>
          <w:szCs w:val="24"/>
          <w:lang w:val="es-ES"/>
        </w:rPr>
        <w:t>(2</w:t>
      </w:r>
      <w:r w:rsidR="00772A42">
        <w:rPr>
          <w:sz w:val="24"/>
          <w:szCs w:val="24"/>
          <w:lang w:val="es-ES"/>
        </w:rPr>
        <w:t>7</w:t>
      </w:r>
      <w:r>
        <w:rPr>
          <w:sz w:val="24"/>
          <w:szCs w:val="24"/>
          <w:lang w:val="es-ES"/>
        </w:rPr>
        <w:t>)</w:t>
      </w:r>
      <w:r w:rsidR="0006721E">
        <w:rPr>
          <w:sz w:val="24"/>
          <w:szCs w:val="24"/>
          <w:lang w:val="es-ES"/>
        </w:rPr>
        <w:t xml:space="preserve"> solicitudes de información y </w:t>
      </w:r>
      <w:r w:rsidR="00772A42">
        <w:rPr>
          <w:sz w:val="24"/>
          <w:szCs w:val="24"/>
          <w:lang w:val="es-ES"/>
        </w:rPr>
        <w:t>once (11)</w:t>
      </w:r>
      <w:r>
        <w:rPr>
          <w:sz w:val="24"/>
          <w:szCs w:val="24"/>
          <w:lang w:val="es-ES"/>
        </w:rPr>
        <w:t xml:space="preserve"> denuncias, quejas y/o sugerencia, integrados a la línea 311, que maneja la oficina Presidencial de </w:t>
      </w:r>
      <w:r w:rsidR="008244DA">
        <w:rPr>
          <w:sz w:val="24"/>
          <w:szCs w:val="24"/>
          <w:lang w:val="es-ES"/>
        </w:rPr>
        <w:t>Tecnología de la Información y C</w:t>
      </w:r>
      <w:r>
        <w:rPr>
          <w:sz w:val="24"/>
          <w:szCs w:val="24"/>
          <w:lang w:val="es-ES"/>
        </w:rPr>
        <w:t xml:space="preserve">omunicación (OTTIC) </w:t>
      </w:r>
      <w:r w:rsidRPr="000676A3">
        <w:rPr>
          <w:sz w:val="24"/>
          <w:szCs w:val="24"/>
          <w:lang w:val="es-ES"/>
        </w:rPr>
        <w:t xml:space="preserve">y actualizado el sub-portal de transparencia, a lo fines de que los usuarios puedan visualizar y fiscalizar la labor de la </w:t>
      </w:r>
      <w:r>
        <w:rPr>
          <w:sz w:val="24"/>
          <w:szCs w:val="24"/>
          <w:lang w:val="es-ES"/>
        </w:rPr>
        <w:t>entidad.</w:t>
      </w:r>
    </w:p>
    <w:p w:rsidR="006F1EBB" w:rsidRDefault="006F1EBB" w:rsidP="006F1EBB">
      <w:pPr>
        <w:spacing w:line="360" w:lineRule="auto"/>
        <w:jc w:val="both"/>
        <w:rPr>
          <w:sz w:val="24"/>
          <w:szCs w:val="24"/>
          <w:lang w:val="es-ES"/>
        </w:rPr>
      </w:pPr>
    </w:p>
    <w:p w:rsidR="006F1EBB" w:rsidRPr="00AD6F07" w:rsidRDefault="006F1EBB" w:rsidP="006F1EBB">
      <w:pPr>
        <w:spacing w:line="360" w:lineRule="auto"/>
        <w:jc w:val="both"/>
        <w:rPr>
          <w:sz w:val="24"/>
          <w:szCs w:val="24"/>
          <w:lang w:val="es-ES"/>
        </w:rPr>
      </w:pPr>
      <w:r w:rsidRPr="00AD6F07">
        <w:rPr>
          <w:sz w:val="24"/>
          <w:szCs w:val="24"/>
          <w:lang w:val="es-ES"/>
        </w:rPr>
        <w:t xml:space="preserve">Fue elaborado </w:t>
      </w:r>
      <w:r w:rsidR="00876A23" w:rsidRPr="00AD6F07">
        <w:rPr>
          <w:sz w:val="24"/>
          <w:szCs w:val="24"/>
          <w:lang w:val="es-ES"/>
        </w:rPr>
        <w:t>el Plan</w:t>
      </w:r>
      <w:r w:rsidRPr="00AD6F07">
        <w:rPr>
          <w:sz w:val="24"/>
          <w:szCs w:val="24"/>
          <w:lang w:val="es-ES"/>
        </w:rPr>
        <w:t xml:space="preserve"> </w:t>
      </w:r>
      <w:r w:rsidR="00772A42">
        <w:rPr>
          <w:sz w:val="24"/>
          <w:szCs w:val="24"/>
          <w:lang w:val="es-ES"/>
        </w:rPr>
        <w:t xml:space="preserve">Operativo Anual, el Plan Anual de Compras y Contrataciones </w:t>
      </w:r>
      <w:r w:rsidRPr="00AD6F07">
        <w:rPr>
          <w:sz w:val="24"/>
          <w:szCs w:val="24"/>
          <w:lang w:val="es-ES"/>
        </w:rPr>
        <w:t xml:space="preserve">de la </w:t>
      </w:r>
      <w:r w:rsidR="00772A42">
        <w:rPr>
          <w:sz w:val="24"/>
          <w:szCs w:val="24"/>
          <w:lang w:val="es-ES"/>
        </w:rPr>
        <w:t>S</w:t>
      </w:r>
      <w:r w:rsidRPr="00AD6F07">
        <w:rPr>
          <w:sz w:val="24"/>
          <w:szCs w:val="24"/>
          <w:lang w:val="es-ES"/>
        </w:rPr>
        <w:t xml:space="preserve">uperintendencia de </w:t>
      </w:r>
      <w:r w:rsidR="00772A42">
        <w:rPr>
          <w:sz w:val="24"/>
          <w:szCs w:val="24"/>
          <w:lang w:val="es-ES"/>
        </w:rPr>
        <w:t>S</w:t>
      </w:r>
      <w:r w:rsidRPr="00AD6F07">
        <w:rPr>
          <w:sz w:val="24"/>
          <w:szCs w:val="24"/>
          <w:lang w:val="es-ES"/>
        </w:rPr>
        <w:t xml:space="preserve">eguros para el </w:t>
      </w:r>
      <w:r w:rsidR="00876A23" w:rsidRPr="00AD6F07">
        <w:rPr>
          <w:sz w:val="24"/>
          <w:szCs w:val="24"/>
          <w:lang w:val="es-ES"/>
        </w:rPr>
        <w:t>periodo 2019</w:t>
      </w:r>
      <w:r w:rsidR="00772A42">
        <w:rPr>
          <w:sz w:val="24"/>
          <w:szCs w:val="24"/>
          <w:lang w:val="es-ES"/>
        </w:rPr>
        <w:t>.</w:t>
      </w:r>
    </w:p>
    <w:p w:rsidR="00BE6FDB" w:rsidRPr="006F1EBB" w:rsidRDefault="00BE6FDB" w:rsidP="00BE6FDB">
      <w:pPr>
        <w:rPr>
          <w:sz w:val="44"/>
          <w:szCs w:val="44"/>
          <w:lang w:val="es-ES"/>
        </w:rPr>
      </w:pPr>
    </w:p>
    <w:p w:rsidR="00BE6FDB" w:rsidRDefault="00BE6FDB" w:rsidP="00B5235A">
      <w:pPr>
        <w:spacing w:line="360" w:lineRule="auto"/>
        <w:jc w:val="center"/>
        <w:rPr>
          <w:b/>
          <w:sz w:val="24"/>
          <w:szCs w:val="24"/>
          <w:lang w:val="es-ES"/>
        </w:rPr>
      </w:pPr>
    </w:p>
    <w:p w:rsidR="009C3B69" w:rsidRDefault="009C3B69" w:rsidP="00B5235A">
      <w:pPr>
        <w:spacing w:line="360" w:lineRule="auto"/>
        <w:jc w:val="center"/>
        <w:rPr>
          <w:b/>
          <w:sz w:val="24"/>
          <w:szCs w:val="24"/>
          <w:lang w:val="es-ES"/>
        </w:rPr>
      </w:pPr>
    </w:p>
    <w:p w:rsidR="007406B3" w:rsidRDefault="007406B3" w:rsidP="00B5235A">
      <w:pPr>
        <w:spacing w:line="360" w:lineRule="auto"/>
        <w:jc w:val="center"/>
        <w:rPr>
          <w:b/>
          <w:sz w:val="24"/>
          <w:szCs w:val="24"/>
          <w:lang w:val="es-ES"/>
        </w:rPr>
      </w:pPr>
    </w:p>
    <w:p w:rsidR="007406B3" w:rsidRDefault="007406B3" w:rsidP="00B5235A">
      <w:pPr>
        <w:spacing w:line="360" w:lineRule="auto"/>
        <w:jc w:val="center"/>
        <w:rPr>
          <w:b/>
          <w:sz w:val="24"/>
          <w:szCs w:val="24"/>
          <w:lang w:val="es-ES"/>
        </w:rPr>
      </w:pPr>
    </w:p>
    <w:p w:rsidR="007406B3" w:rsidRDefault="007406B3" w:rsidP="00B5235A">
      <w:pPr>
        <w:spacing w:line="360" w:lineRule="auto"/>
        <w:jc w:val="center"/>
        <w:rPr>
          <w:b/>
          <w:sz w:val="24"/>
          <w:szCs w:val="24"/>
          <w:lang w:val="es-ES"/>
        </w:rPr>
      </w:pPr>
    </w:p>
    <w:p w:rsidR="007406B3" w:rsidRDefault="007406B3" w:rsidP="00B5235A">
      <w:pPr>
        <w:spacing w:line="360" w:lineRule="auto"/>
        <w:jc w:val="center"/>
        <w:rPr>
          <w:b/>
          <w:sz w:val="24"/>
          <w:szCs w:val="24"/>
          <w:lang w:val="es-ES"/>
        </w:rPr>
      </w:pPr>
    </w:p>
    <w:p w:rsidR="00072B48" w:rsidRDefault="00072B48" w:rsidP="00B5235A">
      <w:pPr>
        <w:spacing w:line="360" w:lineRule="auto"/>
        <w:jc w:val="center"/>
        <w:rPr>
          <w:b/>
          <w:sz w:val="24"/>
          <w:szCs w:val="24"/>
          <w:lang w:val="es-ES"/>
        </w:rPr>
      </w:pPr>
    </w:p>
    <w:p w:rsidR="00A22036" w:rsidRDefault="00A22036" w:rsidP="00B5235A">
      <w:pPr>
        <w:spacing w:line="360" w:lineRule="auto"/>
        <w:jc w:val="center"/>
        <w:rPr>
          <w:b/>
          <w:sz w:val="24"/>
          <w:szCs w:val="24"/>
          <w:lang w:val="es-ES"/>
        </w:rPr>
      </w:pPr>
    </w:p>
    <w:p w:rsidR="00A22036" w:rsidRDefault="00A22036" w:rsidP="00B5235A">
      <w:pPr>
        <w:spacing w:line="360" w:lineRule="auto"/>
        <w:jc w:val="center"/>
        <w:rPr>
          <w:b/>
          <w:sz w:val="24"/>
          <w:szCs w:val="24"/>
          <w:lang w:val="es-ES"/>
        </w:rPr>
      </w:pPr>
    </w:p>
    <w:p w:rsidR="00A22036" w:rsidRDefault="00A22036" w:rsidP="00B5235A">
      <w:pPr>
        <w:spacing w:line="360" w:lineRule="auto"/>
        <w:jc w:val="center"/>
        <w:rPr>
          <w:b/>
          <w:sz w:val="24"/>
          <w:szCs w:val="24"/>
          <w:lang w:val="es-ES"/>
        </w:rPr>
      </w:pPr>
    </w:p>
    <w:p w:rsidR="00A22036" w:rsidRDefault="00A22036" w:rsidP="00B5235A">
      <w:pPr>
        <w:spacing w:line="360" w:lineRule="auto"/>
        <w:jc w:val="center"/>
        <w:rPr>
          <w:b/>
          <w:sz w:val="24"/>
          <w:szCs w:val="24"/>
          <w:lang w:val="es-ES"/>
        </w:rPr>
      </w:pPr>
    </w:p>
    <w:p w:rsidR="00A22036" w:rsidRDefault="00A22036" w:rsidP="00B5235A">
      <w:pPr>
        <w:spacing w:line="360" w:lineRule="auto"/>
        <w:jc w:val="center"/>
        <w:rPr>
          <w:b/>
          <w:sz w:val="24"/>
          <w:szCs w:val="24"/>
          <w:lang w:val="es-ES"/>
        </w:rPr>
      </w:pPr>
    </w:p>
    <w:p w:rsidR="00A22036" w:rsidRDefault="00A22036" w:rsidP="00B5235A">
      <w:pPr>
        <w:spacing w:line="360" w:lineRule="auto"/>
        <w:jc w:val="center"/>
        <w:rPr>
          <w:b/>
          <w:sz w:val="24"/>
          <w:szCs w:val="24"/>
          <w:lang w:val="es-ES"/>
        </w:rPr>
      </w:pPr>
    </w:p>
    <w:p w:rsidR="00A22036" w:rsidRDefault="00A22036" w:rsidP="00B5235A">
      <w:pPr>
        <w:spacing w:line="360" w:lineRule="auto"/>
        <w:jc w:val="center"/>
        <w:rPr>
          <w:b/>
          <w:sz w:val="24"/>
          <w:szCs w:val="24"/>
          <w:lang w:val="es-ES"/>
        </w:rPr>
      </w:pPr>
    </w:p>
    <w:p w:rsidR="00A22036" w:rsidRDefault="00A22036" w:rsidP="00B5235A">
      <w:pPr>
        <w:spacing w:line="360" w:lineRule="auto"/>
        <w:jc w:val="center"/>
        <w:rPr>
          <w:b/>
          <w:sz w:val="24"/>
          <w:szCs w:val="24"/>
          <w:lang w:val="es-ES"/>
        </w:rPr>
      </w:pPr>
    </w:p>
    <w:p w:rsidR="00A22036" w:rsidRDefault="00A22036" w:rsidP="00B5235A">
      <w:pPr>
        <w:spacing w:line="360" w:lineRule="auto"/>
        <w:jc w:val="center"/>
        <w:rPr>
          <w:b/>
          <w:sz w:val="24"/>
          <w:szCs w:val="24"/>
          <w:lang w:val="es-ES"/>
        </w:rPr>
      </w:pPr>
    </w:p>
    <w:p w:rsidR="00A22036" w:rsidRDefault="00A22036" w:rsidP="00A22036">
      <w:pPr>
        <w:spacing w:line="360" w:lineRule="auto"/>
        <w:rPr>
          <w:b/>
          <w:sz w:val="24"/>
          <w:szCs w:val="24"/>
          <w:lang w:val="es-ES"/>
        </w:rPr>
      </w:pPr>
    </w:p>
    <w:p w:rsidR="00A22036" w:rsidRDefault="00A22036" w:rsidP="00A22036">
      <w:pPr>
        <w:spacing w:line="360" w:lineRule="auto"/>
        <w:rPr>
          <w:b/>
          <w:sz w:val="24"/>
          <w:szCs w:val="24"/>
          <w:lang w:val="es-ES"/>
        </w:rPr>
      </w:pPr>
    </w:p>
    <w:p w:rsidR="00A22036" w:rsidRDefault="00A22036" w:rsidP="00A22036">
      <w:pPr>
        <w:spacing w:line="360" w:lineRule="auto"/>
        <w:rPr>
          <w:b/>
          <w:sz w:val="24"/>
          <w:szCs w:val="24"/>
          <w:lang w:val="es-ES"/>
        </w:rPr>
      </w:pPr>
    </w:p>
    <w:p w:rsidR="00A22036" w:rsidRDefault="00A22036" w:rsidP="00A22036">
      <w:pPr>
        <w:spacing w:line="360" w:lineRule="auto"/>
        <w:rPr>
          <w:b/>
          <w:sz w:val="24"/>
          <w:szCs w:val="24"/>
          <w:lang w:val="es-ES"/>
        </w:rPr>
      </w:pPr>
    </w:p>
    <w:p w:rsidR="00A22036" w:rsidRDefault="00A22036" w:rsidP="00A22036">
      <w:pPr>
        <w:spacing w:line="360" w:lineRule="auto"/>
        <w:rPr>
          <w:b/>
          <w:sz w:val="24"/>
          <w:szCs w:val="24"/>
          <w:lang w:val="es-ES"/>
        </w:rPr>
      </w:pPr>
    </w:p>
    <w:p w:rsidR="00A22036" w:rsidRDefault="00A22036" w:rsidP="00A22036">
      <w:pPr>
        <w:spacing w:line="360" w:lineRule="auto"/>
        <w:rPr>
          <w:b/>
          <w:sz w:val="24"/>
          <w:szCs w:val="24"/>
          <w:lang w:val="es-ES"/>
        </w:rPr>
      </w:pPr>
    </w:p>
    <w:p w:rsidR="00A22036" w:rsidRDefault="00A22036" w:rsidP="00A22036">
      <w:pPr>
        <w:spacing w:line="360" w:lineRule="auto"/>
        <w:rPr>
          <w:b/>
          <w:sz w:val="24"/>
          <w:szCs w:val="24"/>
          <w:lang w:val="es-ES"/>
        </w:rPr>
      </w:pPr>
    </w:p>
    <w:p w:rsidR="00A22036" w:rsidRDefault="00A22036" w:rsidP="00A22036">
      <w:pPr>
        <w:spacing w:line="360" w:lineRule="auto"/>
        <w:rPr>
          <w:b/>
          <w:sz w:val="24"/>
          <w:szCs w:val="24"/>
          <w:lang w:val="es-ES"/>
        </w:rPr>
      </w:pPr>
    </w:p>
    <w:p w:rsidR="00A22036" w:rsidRDefault="00A22036" w:rsidP="00A22036">
      <w:pPr>
        <w:spacing w:line="360" w:lineRule="auto"/>
        <w:rPr>
          <w:b/>
          <w:sz w:val="24"/>
          <w:szCs w:val="24"/>
          <w:lang w:val="es-ES"/>
        </w:rPr>
      </w:pPr>
    </w:p>
    <w:p w:rsidR="00A22036" w:rsidRDefault="00A22036" w:rsidP="00A22036">
      <w:pPr>
        <w:spacing w:line="360" w:lineRule="auto"/>
        <w:rPr>
          <w:b/>
          <w:sz w:val="24"/>
          <w:szCs w:val="24"/>
          <w:lang w:val="es-ES"/>
        </w:rPr>
      </w:pPr>
    </w:p>
    <w:p w:rsidR="00A22036" w:rsidRDefault="00A22036" w:rsidP="00A22036">
      <w:pPr>
        <w:spacing w:line="360" w:lineRule="auto"/>
        <w:rPr>
          <w:b/>
          <w:sz w:val="24"/>
          <w:szCs w:val="24"/>
          <w:lang w:val="es-ES"/>
        </w:rPr>
      </w:pPr>
    </w:p>
    <w:p w:rsidR="00A22036" w:rsidRDefault="00A22036" w:rsidP="00A22036">
      <w:pPr>
        <w:spacing w:line="360" w:lineRule="auto"/>
        <w:rPr>
          <w:b/>
          <w:sz w:val="24"/>
          <w:szCs w:val="24"/>
          <w:lang w:val="es-ES"/>
        </w:rPr>
      </w:pPr>
    </w:p>
    <w:p w:rsidR="00A22036" w:rsidRDefault="00A22036" w:rsidP="00A22036">
      <w:pPr>
        <w:spacing w:line="360" w:lineRule="auto"/>
        <w:rPr>
          <w:b/>
          <w:sz w:val="24"/>
          <w:szCs w:val="24"/>
          <w:lang w:val="es-ES"/>
        </w:rPr>
      </w:pPr>
    </w:p>
    <w:p w:rsidR="00876A23" w:rsidRDefault="00876A23" w:rsidP="00A22036">
      <w:pPr>
        <w:spacing w:line="360" w:lineRule="auto"/>
        <w:rPr>
          <w:b/>
          <w:sz w:val="24"/>
          <w:szCs w:val="24"/>
          <w:lang w:val="es-ES"/>
        </w:rPr>
      </w:pPr>
    </w:p>
    <w:p w:rsidR="00C30B05" w:rsidRDefault="00C30B05" w:rsidP="00A22036">
      <w:pPr>
        <w:spacing w:line="360" w:lineRule="auto"/>
        <w:rPr>
          <w:b/>
          <w:sz w:val="24"/>
          <w:szCs w:val="24"/>
          <w:lang w:val="es-ES"/>
        </w:rPr>
      </w:pPr>
    </w:p>
    <w:p w:rsidR="004F31E9" w:rsidRDefault="004F31E9" w:rsidP="000C09EE">
      <w:pPr>
        <w:spacing w:line="360" w:lineRule="auto"/>
        <w:rPr>
          <w:b/>
          <w:sz w:val="24"/>
          <w:szCs w:val="24"/>
          <w:lang w:val="es-ES"/>
        </w:rPr>
      </w:pPr>
    </w:p>
    <w:p w:rsidR="00B5235A" w:rsidRPr="00E467C0" w:rsidRDefault="007F6DE9" w:rsidP="005C4FD0">
      <w:pPr>
        <w:spacing w:line="360" w:lineRule="auto"/>
        <w:jc w:val="center"/>
        <w:outlineLvl w:val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 xml:space="preserve">MEMORIA </w:t>
      </w:r>
      <w:r w:rsidR="00876A23">
        <w:rPr>
          <w:b/>
          <w:sz w:val="24"/>
          <w:szCs w:val="24"/>
          <w:lang w:val="es-ES"/>
        </w:rPr>
        <w:t>ANUAL</w:t>
      </w:r>
      <w:r w:rsidR="00876A23" w:rsidRPr="00E467C0">
        <w:rPr>
          <w:b/>
          <w:sz w:val="24"/>
          <w:szCs w:val="24"/>
          <w:lang w:val="es-ES"/>
        </w:rPr>
        <w:t xml:space="preserve"> DE</w:t>
      </w:r>
      <w:r w:rsidR="00B5235A" w:rsidRPr="00E467C0">
        <w:rPr>
          <w:b/>
          <w:sz w:val="24"/>
          <w:szCs w:val="24"/>
          <w:lang w:val="es-ES"/>
        </w:rPr>
        <w:t xml:space="preserve"> LAS ACTIVIDADES MÁS RELEVANTES </w:t>
      </w:r>
    </w:p>
    <w:p w:rsidR="00B5235A" w:rsidRDefault="00B5235A" w:rsidP="00B5235A">
      <w:pPr>
        <w:spacing w:line="360" w:lineRule="auto"/>
        <w:jc w:val="center"/>
        <w:rPr>
          <w:b/>
          <w:sz w:val="24"/>
          <w:szCs w:val="24"/>
          <w:lang w:val="es-ES"/>
        </w:rPr>
      </w:pPr>
      <w:r w:rsidRPr="00E467C0">
        <w:rPr>
          <w:b/>
          <w:sz w:val="24"/>
          <w:szCs w:val="24"/>
          <w:lang w:val="es-ES"/>
        </w:rPr>
        <w:t>DE LA INSTITUCION DURANTE EL PER</w:t>
      </w:r>
      <w:r w:rsidR="00A7754C" w:rsidRPr="00E467C0">
        <w:rPr>
          <w:b/>
          <w:sz w:val="24"/>
          <w:szCs w:val="24"/>
          <w:lang w:val="es-ES"/>
        </w:rPr>
        <w:t>Í</w:t>
      </w:r>
      <w:r w:rsidR="009F03F0">
        <w:rPr>
          <w:b/>
          <w:sz w:val="24"/>
          <w:szCs w:val="24"/>
          <w:lang w:val="es-ES"/>
        </w:rPr>
        <w:t xml:space="preserve">ODO </w:t>
      </w:r>
      <w:r w:rsidR="00BF5069">
        <w:rPr>
          <w:b/>
          <w:sz w:val="24"/>
          <w:szCs w:val="24"/>
          <w:lang w:val="es-ES"/>
        </w:rPr>
        <w:t>ENERO-</w:t>
      </w:r>
      <w:r w:rsidR="009F03F0">
        <w:rPr>
          <w:b/>
          <w:sz w:val="24"/>
          <w:szCs w:val="24"/>
          <w:lang w:val="es-ES"/>
        </w:rPr>
        <w:t>DICIEMBRE</w:t>
      </w:r>
      <w:r w:rsidRPr="00E467C0">
        <w:rPr>
          <w:b/>
          <w:sz w:val="24"/>
          <w:szCs w:val="24"/>
          <w:lang w:val="es-ES"/>
        </w:rPr>
        <w:t xml:space="preserve"> </w:t>
      </w:r>
      <w:r w:rsidR="009A5AEB" w:rsidRPr="00E467C0">
        <w:rPr>
          <w:b/>
          <w:sz w:val="24"/>
          <w:szCs w:val="24"/>
          <w:lang w:val="es-ES"/>
        </w:rPr>
        <w:t>201</w:t>
      </w:r>
      <w:r w:rsidR="003D2BC9">
        <w:rPr>
          <w:b/>
          <w:sz w:val="24"/>
          <w:szCs w:val="24"/>
          <w:lang w:val="es-ES"/>
        </w:rPr>
        <w:t>8</w:t>
      </w:r>
    </w:p>
    <w:p w:rsidR="003D2BC9" w:rsidRPr="00E467C0" w:rsidRDefault="003D2BC9" w:rsidP="00B5235A">
      <w:pPr>
        <w:spacing w:line="360" w:lineRule="auto"/>
        <w:jc w:val="center"/>
        <w:rPr>
          <w:b/>
          <w:sz w:val="24"/>
          <w:szCs w:val="24"/>
          <w:lang w:val="es-ES"/>
        </w:rPr>
      </w:pPr>
    </w:p>
    <w:p w:rsidR="00C30B2D" w:rsidRPr="00E467C0" w:rsidRDefault="00C30B2D" w:rsidP="00B5235A">
      <w:pPr>
        <w:spacing w:line="360" w:lineRule="auto"/>
        <w:jc w:val="center"/>
        <w:rPr>
          <w:b/>
          <w:color w:val="FF0000"/>
          <w:sz w:val="24"/>
          <w:szCs w:val="24"/>
          <w:lang w:val="es-ES"/>
        </w:rPr>
      </w:pPr>
    </w:p>
    <w:p w:rsidR="00725B93" w:rsidRPr="00E467C0" w:rsidRDefault="008A7B22" w:rsidP="009C6647">
      <w:pPr>
        <w:spacing w:line="360" w:lineRule="auto"/>
        <w:jc w:val="both"/>
        <w:rPr>
          <w:color w:val="000000"/>
          <w:sz w:val="24"/>
          <w:szCs w:val="24"/>
          <w:lang w:val="es-ES"/>
        </w:rPr>
      </w:pPr>
      <w:r w:rsidRPr="00E467C0">
        <w:rPr>
          <w:color w:val="000000"/>
          <w:sz w:val="24"/>
          <w:szCs w:val="24"/>
          <w:lang w:val="es-ES"/>
        </w:rPr>
        <w:t>La Superintendencia de Seguros</w:t>
      </w:r>
      <w:r w:rsidR="007042B9">
        <w:rPr>
          <w:color w:val="000000"/>
          <w:sz w:val="24"/>
          <w:szCs w:val="24"/>
          <w:lang w:val="es-ES"/>
        </w:rPr>
        <w:t xml:space="preserve"> </w:t>
      </w:r>
      <w:r w:rsidR="0018148B" w:rsidRPr="00E467C0">
        <w:rPr>
          <w:color w:val="000000"/>
          <w:sz w:val="24"/>
          <w:szCs w:val="24"/>
          <w:lang w:val="es-ES"/>
        </w:rPr>
        <w:t xml:space="preserve">a través de la aplicación </w:t>
      </w:r>
      <w:r w:rsidR="0080549B" w:rsidRPr="00E467C0">
        <w:rPr>
          <w:color w:val="000000"/>
          <w:sz w:val="24"/>
          <w:szCs w:val="24"/>
          <w:lang w:val="es-ES"/>
        </w:rPr>
        <w:t xml:space="preserve">de </w:t>
      </w:r>
      <w:r w:rsidR="00DE0D6F" w:rsidRPr="00E467C0">
        <w:rPr>
          <w:color w:val="000000"/>
          <w:sz w:val="24"/>
          <w:szCs w:val="24"/>
          <w:lang w:val="es-ES"/>
        </w:rPr>
        <w:t>la Ley</w:t>
      </w:r>
      <w:r w:rsidR="004F31E9">
        <w:rPr>
          <w:color w:val="000000"/>
          <w:sz w:val="24"/>
          <w:szCs w:val="24"/>
          <w:lang w:val="es-ES"/>
        </w:rPr>
        <w:t xml:space="preserve"> No.</w:t>
      </w:r>
      <w:r w:rsidR="00DE0D6F" w:rsidRPr="00E467C0">
        <w:rPr>
          <w:color w:val="000000"/>
          <w:sz w:val="24"/>
          <w:szCs w:val="24"/>
          <w:lang w:val="es-ES"/>
        </w:rPr>
        <w:t xml:space="preserve"> 146-02</w:t>
      </w:r>
      <w:r w:rsidR="0018148B" w:rsidRPr="00E467C0">
        <w:rPr>
          <w:color w:val="000000"/>
          <w:sz w:val="24"/>
          <w:szCs w:val="24"/>
          <w:lang w:val="es-ES"/>
        </w:rPr>
        <w:t xml:space="preserve"> sobre </w:t>
      </w:r>
      <w:r w:rsidR="0018148B" w:rsidRPr="004F31E9">
        <w:rPr>
          <w:color w:val="000000"/>
          <w:sz w:val="24"/>
          <w:szCs w:val="24"/>
          <w:lang w:val="es-ES"/>
        </w:rPr>
        <w:t>Seguros y Fianzas</w:t>
      </w:r>
      <w:r w:rsidR="005D328C" w:rsidRPr="00E467C0">
        <w:rPr>
          <w:color w:val="000000"/>
          <w:sz w:val="24"/>
          <w:szCs w:val="24"/>
          <w:lang w:val="es-ES"/>
        </w:rPr>
        <w:t xml:space="preserve"> </w:t>
      </w:r>
      <w:r w:rsidR="0018148B" w:rsidRPr="00E467C0">
        <w:rPr>
          <w:color w:val="000000"/>
          <w:sz w:val="24"/>
          <w:szCs w:val="24"/>
          <w:lang w:val="es-ES"/>
        </w:rPr>
        <w:t xml:space="preserve">de la República Dominicana, </w:t>
      </w:r>
      <w:r w:rsidR="007042B9">
        <w:rPr>
          <w:color w:val="000000"/>
          <w:sz w:val="24"/>
          <w:szCs w:val="24"/>
          <w:lang w:val="es-ES"/>
        </w:rPr>
        <w:t xml:space="preserve">desarrollo </w:t>
      </w:r>
      <w:r w:rsidR="0020236D">
        <w:rPr>
          <w:color w:val="000000"/>
          <w:sz w:val="24"/>
          <w:szCs w:val="24"/>
          <w:lang w:val="es-ES"/>
        </w:rPr>
        <w:t>las siguientes actividades</w:t>
      </w:r>
      <w:r w:rsidR="0080549B" w:rsidRPr="00E467C0">
        <w:rPr>
          <w:color w:val="000000"/>
          <w:sz w:val="24"/>
          <w:szCs w:val="24"/>
          <w:lang w:val="es-ES"/>
        </w:rPr>
        <w:t xml:space="preserve"> la</w:t>
      </w:r>
      <w:r w:rsidR="00117131" w:rsidRPr="00E467C0">
        <w:rPr>
          <w:color w:val="000000"/>
          <w:sz w:val="24"/>
          <w:szCs w:val="24"/>
          <w:lang w:val="es-ES"/>
        </w:rPr>
        <w:t xml:space="preserve">s </w:t>
      </w:r>
      <w:r w:rsidR="001B0B8B" w:rsidRPr="00E467C0">
        <w:rPr>
          <w:color w:val="000000"/>
          <w:sz w:val="24"/>
          <w:szCs w:val="24"/>
          <w:lang w:val="es-ES"/>
        </w:rPr>
        <w:t>cuales detallamos la</w:t>
      </w:r>
      <w:r w:rsidR="009358F8" w:rsidRPr="00E467C0">
        <w:rPr>
          <w:color w:val="000000"/>
          <w:sz w:val="24"/>
          <w:szCs w:val="24"/>
          <w:lang w:val="es-ES"/>
        </w:rPr>
        <w:t>s</w:t>
      </w:r>
      <w:r w:rsidR="0018148B" w:rsidRPr="00E467C0">
        <w:rPr>
          <w:color w:val="000000"/>
          <w:sz w:val="24"/>
          <w:szCs w:val="24"/>
          <w:lang w:val="es-ES"/>
        </w:rPr>
        <w:t xml:space="preserve"> más relevantes</w:t>
      </w:r>
      <w:r w:rsidR="00444BCC" w:rsidRPr="00E467C0">
        <w:rPr>
          <w:color w:val="000000"/>
          <w:sz w:val="24"/>
          <w:szCs w:val="24"/>
          <w:lang w:val="es-ES"/>
        </w:rPr>
        <w:t>:</w:t>
      </w:r>
    </w:p>
    <w:p w:rsidR="00725B93" w:rsidRDefault="00725B93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B55DD3" w:rsidRDefault="00B55DD3" w:rsidP="00B55DD3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disp</w:t>
      </w:r>
      <w:r w:rsidR="00930E79">
        <w:rPr>
          <w:sz w:val="24"/>
          <w:szCs w:val="24"/>
          <w:lang w:val="es-ES"/>
        </w:rPr>
        <w:t>uso la realización de veintinueve (29</w:t>
      </w:r>
      <w:r>
        <w:rPr>
          <w:sz w:val="24"/>
          <w:szCs w:val="24"/>
          <w:lang w:val="es-ES"/>
        </w:rPr>
        <w:t xml:space="preserve">) auditorías a las compañías aseguradoras y/o </w:t>
      </w:r>
      <w:r w:rsidR="00876A23">
        <w:rPr>
          <w:sz w:val="24"/>
          <w:szCs w:val="24"/>
          <w:lang w:val="es-ES"/>
        </w:rPr>
        <w:t>reaseguradoras, cuales</w:t>
      </w:r>
      <w:r w:rsidR="00EB2B4F">
        <w:rPr>
          <w:sz w:val="24"/>
          <w:szCs w:val="24"/>
          <w:lang w:val="es-ES"/>
        </w:rPr>
        <w:t xml:space="preserve"> veinte (20</w:t>
      </w:r>
      <w:r w:rsidR="00876A23">
        <w:rPr>
          <w:sz w:val="24"/>
          <w:szCs w:val="24"/>
          <w:lang w:val="es-ES"/>
        </w:rPr>
        <w:t>) han</w:t>
      </w:r>
      <w:r w:rsidR="00EB2B4F">
        <w:rPr>
          <w:sz w:val="24"/>
          <w:szCs w:val="24"/>
          <w:lang w:val="es-ES"/>
        </w:rPr>
        <w:t xml:space="preserve"> finalizado y nue</w:t>
      </w:r>
      <w:r w:rsidR="00E47383">
        <w:rPr>
          <w:sz w:val="24"/>
          <w:szCs w:val="24"/>
          <w:lang w:val="es-ES"/>
        </w:rPr>
        <w:t>ve (9</w:t>
      </w:r>
      <w:r w:rsidR="00876A23">
        <w:rPr>
          <w:sz w:val="24"/>
          <w:szCs w:val="24"/>
          <w:lang w:val="es-ES"/>
        </w:rPr>
        <w:t>) se</w:t>
      </w:r>
      <w:r w:rsidR="00E47383">
        <w:rPr>
          <w:sz w:val="24"/>
          <w:szCs w:val="24"/>
          <w:lang w:val="es-ES"/>
        </w:rPr>
        <w:t xml:space="preserve"> encuentra en proceso.</w:t>
      </w:r>
    </w:p>
    <w:p w:rsidR="00EB2B4F" w:rsidRDefault="00EB2B4F" w:rsidP="00B55DD3">
      <w:pPr>
        <w:spacing w:line="360" w:lineRule="auto"/>
        <w:jc w:val="both"/>
        <w:rPr>
          <w:sz w:val="24"/>
          <w:szCs w:val="24"/>
          <w:lang w:val="es-ES"/>
        </w:rPr>
      </w:pPr>
    </w:p>
    <w:p w:rsidR="00B55DD3" w:rsidRDefault="004F31E9" w:rsidP="00B55DD3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Aprobó</w:t>
      </w:r>
      <w:r w:rsidR="00930E79">
        <w:rPr>
          <w:sz w:val="24"/>
          <w:szCs w:val="24"/>
          <w:lang w:val="es-ES"/>
        </w:rPr>
        <w:t xml:space="preserve"> un total de once (11</w:t>
      </w:r>
      <w:r w:rsidR="00B55DD3">
        <w:rPr>
          <w:sz w:val="24"/>
          <w:szCs w:val="24"/>
          <w:lang w:val="es-ES"/>
        </w:rPr>
        <w:t>) solicitudes para aumento de capital, cancelaciones, transferencias y suscripciones de acciones.</w:t>
      </w:r>
    </w:p>
    <w:p w:rsidR="00B55DD3" w:rsidRPr="00217C67" w:rsidRDefault="00B55DD3" w:rsidP="00B55DD3">
      <w:pPr>
        <w:spacing w:line="360" w:lineRule="auto"/>
        <w:jc w:val="both"/>
        <w:rPr>
          <w:b/>
          <w:color w:val="262626"/>
          <w:sz w:val="24"/>
          <w:szCs w:val="24"/>
          <w:lang w:val="es-ES"/>
        </w:rPr>
      </w:pPr>
    </w:p>
    <w:p w:rsidR="00B55DD3" w:rsidRDefault="00690DAB" w:rsidP="00B55DD3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Recibimos</w:t>
      </w:r>
      <w:r w:rsidR="00A70928">
        <w:rPr>
          <w:sz w:val="24"/>
          <w:szCs w:val="24"/>
          <w:lang w:val="es-ES"/>
        </w:rPr>
        <w:t xml:space="preserve"> noventa y ocho (98</w:t>
      </w:r>
      <w:r w:rsidR="00B55DD3">
        <w:rPr>
          <w:sz w:val="24"/>
          <w:szCs w:val="24"/>
          <w:lang w:val="es-ES"/>
        </w:rPr>
        <w:t>) Estados Financieros de las Compañías de Seguros y Reaseguro</w:t>
      </w:r>
      <w:r w:rsidR="00E823FF">
        <w:rPr>
          <w:sz w:val="24"/>
          <w:szCs w:val="24"/>
          <w:lang w:val="es-ES"/>
        </w:rPr>
        <w:t xml:space="preserve">s vigentes, correspondientes a los tres </w:t>
      </w:r>
      <w:r w:rsidR="00876A23">
        <w:rPr>
          <w:sz w:val="24"/>
          <w:szCs w:val="24"/>
          <w:lang w:val="es-ES"/>
        </w:rPr>
        <w:t>primeros trimestres</w:t>
      </w:r>
      <w:r w:rsidR="00E823FF">
        <w:rPr>
          <w:sz w:val="24"/>
          <w:szCs w:val="24"/>
          <w:lang w:val="es-ES"/>
        </w:rPr>
        <w:t xml:space="preserve"> del año</w:t>
      </w:r>
      <w:r w:rsidR="00B55DD3">
        <w:rPr>
          <w:sz w:val="24"/>
          <w:szCs w:val="24"/>
          <w:lang w:val="es-ES"/>
        </w:rPr>
        <w:t>, los cuales fueron remitidos al departamento correspondiente con la finalidad de que sean analizados.</w:t>
      </w:r>
    </w:p>
    <w:p w:rsidR="00B55DD3" w:rsidRDefault="00B55DD3" w:rsidP="00B55DD3">
      <w:pPr>
        <w:spacing w:line="360" w:lineRule="auto"/>
        <w:jc w:val="both"/>
        <w:rPr>
          <w:sz w:val="24"/>
          <w:szCs w:val="24"/>
          <w:lang w:val="es-ES"/>
        </w:rPr>
      </w:pPr>
    </w:p>
    <w:p w:rsidR="00B55DD3" w:rsidRDefault="00122175" w:rsidP="00B55DD3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realizaron ciento nueve (109</w:t>
      </w:r>
      <w:r w:rsidR="00B55DD3">
        <w:rPr>
          <w:sz w:val="24"/>
          <w:szCs w:val="24"/>
          <w:lang w:val="es-ES"/>
        </w:rPr>
        <w:t xml:space="preserve">) auditoria a igual número de Corredores de Seguros, correspondientes a </w:t>
      </w:r>
      <w:r w:rsidR="00E823FF">
        <w:rPr>
          <w:sz w:val="24"/>
          <w:szCs w:val="24"/>
          <w:lang w:val="es-ES"/>
        </w:rPr>
        <w:t xml:space="preserve">sus </w:t>
      </w:r>
      <w:r w:rsidR="00B55DD3">
        <w:rPr>
          <w:sz w:val="24"/>
          <w:szCs w:val="24"/>
          <w:lang w:val="es-ES"/>
        </w:rPr>
        <w:t>operaciones</w:t>
      </w:r>
      <w:r w:rsidR="00CE7997">
        <w:rPr>
          <w:sz w:val="24"/>
          <w:szCs w:val="24"/>
          <w:lang w:val="es-ES"/>
        </w:rPr>
        <w:t xml:space="preserve"> del periodo.</w:t>
      </w:r>
      <w:r w:rsidR="00B55DD3">
        <w:rPr>
          <w:sz w:val="24"/>
          <w:szCs w:val="24"/>
          <w:lang w:val="es-ES"/>
        </w:rPr>
        <w:t xml:space="preserve">  </w:t>
      </w:r>
    </w:p>
    <w:p w:rsidR="00B55DD3" w:rsidRDefault="00B55DD3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660705" w:rsidRDefault="00660705" w:rsidP="00660705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Recibimos </w:t>
      </w:r>
      <w:r w:rsidR="00E47383">
        <w:rPr>
          <w:sz w:val="24"/>
          <w:szCs w:val="24"/>
          <w:lang w:val="es-ES"/>
        </w:rPr>
        <w:t>noventa y ocho</w:t>
      </w:r>
      <w:r>
        <w:rPr>
          <w:sz w:val="24"/>
          <w:szCs w:val="24"/>
          <w:lang w:val="es-ES"/>
        </w:rPr>
        <w:t xml:space="preserve"> (</w:t>
      </w:r>
      <w:r w:rsidR="00E47383">
        <w:rPr>
          <w:sz w:val="24"/>
          <w:szCs w:val="24"/>
          <w:lang w:val="es-ES"/>
        </w:rPr>
        <w:t>98</w:t>
      </w:r>
      <w:r w:rsidR="00876A23">
        <w:rPr>
          <w:sz w:val="24"/>
          <w:szCs w:val="24"/>
          <w:lang w:val="es-ES"/>
        </w:rPr>
        <w:t>) estados</w:t>
      </w:r>
      <w:r>
        <w:rPr>
          <w:sz w:val="24"/>
          <w:szCs w:val="24"/>
          <w:lang w:val="es-ES"/>
        </w:rPr>
        <w:t xml:space="preserve"> financieros auditados correspondi</w:t>
      </w:r>
      <w:r w:rsidR="00122175">
        <w:rPr>
          <w:sz w:val="24"/>
          <w:szCs w:val="24"/>
          <w:lang w:val="es-ES"/>
        </w:rPr>
        <w:t>entes al 31 de diciembre de 2017</w:t>
      </w:r>
      <w:r>
        <w:rPr>
          <w:sz w:val="24"/>
          <w:szCs w:val="24"/>
          <w:lang w:val="es-ES"/>
        </w:rPr>
        <w:t xml:space="preserve"> de las compañías de seguros y reaseguros</w:t>
      </w:r>
      <w:r w:rsidR="00E47383">
        <w:rPr>
          <w:sz w:val="24"/>
          <w:szCs w:val="24"/>
          <w:lang w:val="es-ES"/>
        </w:rPr>
        <w:t xml:space="preserve"> y corredores de seguros y reaseguros.</w:t>
      </w:r>
      <w:r>
        <w:rPr>
          <w:sz w:val="24"/>
          <w:szCs w:val="24"/>
          <w:lang w:val="es-ES"/>
        </w:rPr>
        <w:t xml:space="preserve">  </w:t>
      </w:r>
    </w:p>
    <w:p w:rsidR="00660705" w:rsidRDefault="00660705" w:rsidP="00660705">
      <w:pPr>
        <w:spacing w:line="360" w:lineRule="auto"/>
        <w:jc w:val="both"/>
        <w:rPr>
          <w:sz w:val="24"/>
          <w:szCs w:val="24"/>
          <w:lang w:val="es-ES"/>
        </w:rPr>
      </w:pPr>
    </w:p>
    <w:p w:rsidR="00660705" w:rsidRDefault="00660705" w:rsidP="00660705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Recibimos y remitimos los Estados de Situación de Ganancias y Pérdidas y el Estado de Flujo de Efectivo de </w:t>
      </w:r>
      <w:r w:rsidR="00CE7997">
        <w:rPr>
          <w:sz w:val="24"/>
          <w:szCs w:val="24"/>
          <w:lang w:val="es-ES"/>
        </w:rPr>
        <w:t>treinta y una (</w:t>
      </w:r>
      <w:r>
        <w:rPr>
          <w:sz w:val="24"/>
          <w:szCs w:val="24"/>
          <w:lang w:val="es-ES"/>
        </w:rPr>
        <w:t>31</w:t>
      </w:r>
      <w:r w:rsidR="00CE7997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 xml:space="preserve"> compañías de seguros </w:t>
      </w:r>
      <w:r w:rsidR="00CE7997">
        <w:rPr>
          <w:sz w:val="24"/>
          <w:szCs w:val="24"/>
          <w:lang w:val="es-ES"/>
        </w:rPr>
        <w:t>y</w:t>
      </w:r>
      <w:r>
        <w:rPr>
          <w:sz w:val="24"/>
          <w:szCs w:val="24"/>
          <w:lang w:val="es-ES"/>
        </w:rPr>
        <w:t xml:space="preserve"> reaseguros sobre las operaciones termin</w:t>
      </w:r>
      <w:r w:rsidR="00122175">
        <w:rPr>
          <w:sz w:val="24"/>
          <w:szCs w:val="24"/>
          <w:lang w:val="es-ES"/>
        </w:rPr>
        <w:t>adas al 31 de diciembre del 2017</w:t>
      </w:r>
      <w:r>
        <w:rPr>
          <w:sz w:val="24"/>
          <w:szCs w:val="24"/>
          <w:lang w:val="es-ES"/>
        </w:rPr>
        <w:t xml:space="preserve">, para ser aprobado por esta Superintendencia con el propósito de que las mismas sean publicados en un medio de comunicación impreso como lo indica la </w:t>
      </w:r>
      <w:r w:rsidR="00876A23">
        <w:rPr>
          <w:sz w:val="24"/>
          <w:szCs w:val="24"/>
          <w:lang w:val="es-ES"/>
        </w:rPr>
        <w:t>Ley No.</w:t>
      </w:r>
      <w:r>
        <w:rPr>
          <w:sz w:val="24"/>
          <w:szCs w:val="24"/>
          <w:lang w:val="es-ES"/>
        </w:rPr>
        <w:t>146-02.</w:t>
      </w:r>
    </w:p>
    <w:p w:rsidR="00312472" w:rsidRDefault="00312472" w:rsidP="0010781A">
      <w:pPr>
        <w:spacing w:line="360" w:lineRule="auto"/>
        <w:jc w:val="both"/>
        <w:rPr>
          <w:sz w:val="24"/>
          <w:szCs w:val="24"/>
          <w:lang w:val="es-ES"/>
        </w:rPr>
      </w:pPr>
    </w:p>
    <w:p w:rsidR="0010781A" w:rsidRDefault="0010781A" w:rsidP="0010781A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Fueron elaboradas las siguientes resoluciones:</w:t>
      </w:r>
    </w:p>
    <w:p w:rsidR="00660705" w:rsidRDefault="00660705" w:rsidP="00660705">
      <w:pPr>
        <w:spacing w:line="360" w:lineRule="auto"/>
        <w:ind w:left="786"/>
        <w:jc w:val="both"/>
        <w:rPr>
          <w:sz w:val="24"/>
          <w:szCs w:val="24"/>
          <w:lang w:val="es-ES"/>
        </w:rPr>
      </w:pPr>
    </w:p>
    <w:p w:rsidR="00EE5674" w:rsidRDefault="0010781A" w:rsidP="0010781A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Resolución </w:t>
      </w:r>
      <w:r w:rsidR="00EB2B4F">
        <w:rPr>
          <w:sz w:val="24"/>
          <w:szCs w:val="24"/>
          <w:lang w:val="es-ES"/>
        </w:rPr>
        <w:t>No.1-</w:t>
      </w:r>
      <w:r w:rsidR="00876A23">
        <w:rPr>
          <w:sz w:val="24"/>
          <w:szCs w:val="24"/>
          <w:lang w:val="es-ES"/>
        </w:rPr>
        <w:t>18 de</w:t>
      </w:r>
      <w:r w:rsidR="00EE5674">
        <w:rPr>
          <w:sz w:val="24"/>
          <w:szCs w:val="24"/>
          <w:lang w:val="es-ES"/>
        </w:rPr>
        <w:t xml:space="preserve"> fecha 02 de febrero del </w:t>
      </w:r>
      <w:r w:rsidR="00876A23">
        <w:rPr>
          <w:sz w:val="24"/>
          <w:szCs w:val="24"/>
          <w:lang w:val="es-ES"/>
        </w:rPr>
        <w:t>2018 autorizando</w:t>
      </w:r>
      <w:r w:rsidR="003A3202">
        <w:rPr>
          <w:sz w:val="24"/>
          <w:szCs w:val="24"/>
          <w:lang w:val="es-ES"/>
        </w:rPr>
        <w:t xml:space="preserve"> MIDAS SEGUROS</w:t>
      </w:r>
      <w:r w:rsidR="00A954B8">
        <w:rPr>
          <w:sz w:val="24"/>
          <w:szCs w:val="24"/>
          <w:lang w:val="es-ES"/>
        </w:rPr>
        <w:t>, S.A.</w:t>
      </w:r>
      <w:r w:rsidR="00EE5674">
        <w:rPr>
          <w:sz w:val="24"/>
          <w:szCs w:val="24"/>
          <w:lang w:val="es-ES"/>
        </w:rPr>
        <w:t xml:space="preserve"> a operar el negocio de seguros en todos los ramos en el territorio nacional.</w:t>
      </w:r>
    </w:p>
    <w:p w:rsidR="00EE5674" w:rsidRDefault="00A954B8" w:rsidP="0010781A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Resolución</w:t>
      </w:r>
      <w:r w:rsidR="003A3202">
        <w:rPr>
          <w:sz w:val="24"/>
          <w:szCs w:val="24"/>
          <w:lang w:val="es-ES"/>
        </w:rPr>
        <w:t xml:space="preserve"> No</w:t>
      </w:r>
      <w:r w:rsidR="00EB2B4F">
        <w:rPr>
          <w:sz w:val="24"/>
          <w:szCs w:val="24"/>
          <w:lang w:val="es-ES"/>
        </w:rPr>
        <w:t>. 02-</w:t>
      </w:r>
      <w:r w:rsidR="00EE5674">
        <w:rPr>
          <w:sz w:val="24"/>
          <w:szCs w:val="24"/>
          <w:lang w:val="es-ES"/>
        </w:rPr>
        <w:t>18 de fecha 05 de marzo del 2018 revocando la autorización para operar el negocio de seguros en todos los ramos a LA COMERCIAL DE SEGUROS.S.A.</w:t>
      </w:r>
    </w:p>
    <w:p w:rsidR="0010781A" w:rsidRDefault="00A954B8" w:rsidP="0010781A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Resolución</w:t>
      </w:r>
      <w:r w:rsidR="00CB4BC4">
        <w:rPr>
          <w:sz w:val="24"/>
          <w:szCs w:val="24"/>
          <w:lang w:val="es-ES"/>
        </w:rPr>
        <w:t xml:space="preserve"> </w:t>
      </w:r>
      <w:r w:rsidR="00EB2B4F">
        <w:rPr>
          <w:sz w:val="24"/>
          <w:szCs w:val="24"/>
          <w:lang w:val="es-ES"/>
        </w:rPr>
        <w:t>N</w:t>
      </w:r>
      <w:r w:rsidR="00CB4BC4">
        <w:rPr>
          <w:sz w:val="24"/>
          <w:szCs w:val="24"/>
          <w:lang w:val="es-ES"/>
        </w:rPr>
        <w:t>o</w:t>
      </w:r>
      <w:r w:rsidR="00EB2B4F">
        <w:rPr>
          <w:sz w:val="24"/>
          <w:szCs w:val="24"/>
          <w:lang w:val="es-ES"/>
        </w:rPr>
        <w:t>. 03-</w:t>
      </w:r>
      <w:r w:rsidR="00774CDD">
        <w:rPr>
          <w:sz w:val="24"/>
          <w:szCs w:val="24"/>
          <w:lang w:val="es-ES"/>
        </w:rPr>
        <w:t xml:space="preserve">18 de fecha 23 de mayo del 2018 que impone a BUPA </w:t>
      </w:r>
      <w:r w:rsidR="00876A23">
        <w:rPr>
          <w:sz w:val="24"/>
          <w:szCs w:val="24"/>
          <w:lang w:val="es-ES"/>
        </w:rPr>
        <w:t>DOMINICANA, S.A.</w:t>
      </w:r>
      <w:r w:rsidR="00774CDD">
        <w:rPr>
          <w:sz w:val="24"/>
          <w:szCs w:val="24"/>
          <w:lang w:val="es-ES"/>
        </w:rPr>
        <w:t xml:space="preserve"> una multa de veinte salarios </w:t>
      </w:r>
      <w:r>
        <w:rPr>
          <w:sz w:val="24"/>
          <w:szCs w:val="24"/>
          <w:lang w:val="es-ES"/>
        </w:rPr>
        <w:t>mínimos</w:t>
      </w:r>
      <w:r w:rsidR="00774CDD">
        <w:rPr>
          <w:sz w:val="24"/>
          <w:szCs w:val="24"/>
          <w:lang w:val="es-ES"/>
        </w:rPr>
        <w:t>, conforme</w:t>
      </w:r>
      <w:r w:rsidR="00CB4BC4">
        <w:rPr>
          <w:sz w:val="24"/>
          <w:szCs w:val="24"/>
          <w:lang w:val="es-ES"/>
        </w:rPr>
        <w:t xml:space="preserve"> a la escala establecida</w:t>
      </w:r>
      <w:r w:rsidR="00774CDD">
        <w:rPr>
          <w:sz w:val="24"/>
          <w:szCs w:val="24"/>
          <w:lang w:val="es-ES"/>
        </w:rPr>
        <w:t xml:space="preserve"> por el Ministerio de Trabajo, por haber violado las disposiciones de </w:t>
      </w:r>
      <w:r w:rsidR="00EB2B4F">
        <w:rPr>
          <w:sz w:val="24"/>
          <w:szCs w:val="24"/>
          <w:lang w:val="es-ES"/>
        </w:rPr>
        <w:t>los artículos 36,</w:t>
      </w:r>
      <w:r w:rsidR="00E47383">
        <w:rPr>
          <w:sz w:val="24"/>
          <w:szCs w:val="24"/>
          <w:lang w:val="es-ES"/>
        </w:rPr>
        <w:t xml:space="preserve"> </w:t>
      </w:r>
      <w:r w:rsidR="00EB2B4F">
        <w:rPr>
          <w:sz w:val="24"/>
          <w:szCs w:val="24"/>
          <w:lang w:val="es-ES"/>
        </w:rPr>
        <w:t>38 y 39 de la L</w:t>
      </w:r>
      <w:r w:rsidR="00774CDD">
        <w:rPr>
          <w:sz w:val="24"/>
          <w:szCs w:val="24"/>
          <w:lang w:val="es-ES"/>
        </w:rPr>
        <w:t xml:space="preserve">ey </w:t>
      </w:r>
      <w:r w:rsidR="00EB2B4F">
        <w:rPr>
          <w:sz w:val="24"/>
          <w:szCs w:val="24"/>
          <w:lang w:val="es-ES"/>
        </w:rPr>
        <w:t>N</w:t>
      </w:r>
      <w:r w:rsidR="00774CDD">
        <w:rPr>
          <w:sz w:val="24"/>
          <w:szCs w:val="24"/>
          <w:lang w:val="es-ES"/>
        </w:rPr>
        <w:t>o.146-02 sobre seguros y fianzas.</w:t>
      </w:r>
    </w:p>
    <w:p w:rsidR="00CB4BC4" w:rsidRDefault="00A954B8" w:rsidP="0010781A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Resolución</w:t>
      </w:r>
      <w:r w:rsidR="00EB2B4F">
        <w:rPr>
          <w:sz w:val="24"/>
          <w:szCs w:val="24"/>
          <w:lang w:val="es-ES"/>
        </w:rPr>
        <w:t xml:space="preserve"> </w:t>
      </w:r>
      <w:r w:rsidR="00E47383">
        <w:rPr>
          <w:sz w:val="24"/>
          <w:szCs w:val="24"/>
          <w:lang w:val="es-ES"/>
        </w:rPr>
        <w:t>N</w:t>
      </w:r>
      <w:r w:rsidR="00EB2B4F">
        <w:rPr>
          <w:sz w:val="24"/>
          <w:szCs w:val="24"/>
          <w:lang w:val="es-ES"/>
        </w:rPr>
        <w:t>o.04-</w:t>
      </w:r>
      <w:r w:rsidR="00CB4BC4">
        <w:rPr>
          <w:sz w:val="24"/>
          <w:szCs w:val="24"/>
          <w:lang w:val="es-ES"/>
        </w:rPr>
        <w:t>18 de fecha 23 de mayo del 201</w:t>
      </w:r>
      <w:r w:rsidR="00EB2B4F">
        <w:rPr>
          <w:sz w:val="24"/>
          <w:szCs w:val="24"/>
          <w:lang w:val="es-ES"/>
        </w:rPr>
        <w:t>8</w:t>
      </w:r>
      <w:r w:rsidR="00CB4BC4">
        <w:rPr>
          <w:sz w:val="24"/>
          <w:szCs w:val="24"/>
          <w:lang w:val="es-ES"/>
        </w:rPr>
        <w:t>, mediante la cual se impone a BANESCO SEGUROS,</w:t>
      </w:r>
      <w:r w:rsidR="00E47383">
        <w:rPr>
          <w:sz w:val="24"/>
          <w:szCs w:val="24"/>
          <w:lang w:val="es-ES"/>
        </w:rPr>
        <w:t xml:space="preserve"> </w:t>
      </w:r>
      <w:r w:rsidR="00CB4BC4">
        <w:rPr>
          <w:sz w:val="24"/>
          <w:szCs w:val="24"/>
          <w:lang w:val="es-ES"/>
        </w:rPr>
        <w:t xml:space="preserve">S.A. una multa de veinte salarios </w:t>
      </w:r>
      <w:r>
        <w:rPr>
          <w:sz w:val="24"/>
          <w:szCs w:val="24"/>
          <w:lang w:val="es-ES"/>
        </w:rPr>
        <w:t>mínimos</w:t>
      </w:r>
      <w:r w:rsidR="00CB4BC4">
        <w:rPr>
          <w:sz w:val="24"/>
          <w:szCs w:val="24"/>
          <w:lang w:val="es-ES"/>
        </w:rPr>
        <w:t>, conforme a la escala establecida por el Ministerio de Trabajo, por haber violado las disposiciones de l</w:t>
      </w:r>
      <w:r w:rsidR="00EB2B4F">
        <w:rPr>
          <w:sz w:val="24"/>
          <w:szCs w:val="24"/>
          <w:lang w:val="es-ES"/>
        </w:rPr>
        <w:t>os artículos 36, 38 y 39 de la L</w:t>
      </w:r>
      <w:r w:rsidR="00CB4BC4">
        <w:rPr>
          <w:sz w:val="24"/>
          <w:szCs w:val="24"/>
          <w:lang w:val="es-ES"/>
        </w:rPr>
        <w:t xml:space="preserve">ey </w:t>
      </w:r>
      <w:r w:rsidR="00EB2B4F">
        <w:rPr>
          <w:sz w:val="24"/>
          <w:szCs w:val="24"/>
          <w:lang w:val="es-ES"/>
        </w:rPr>
        <w:t xml:space="preserve">No. </w:t>
      </w:r>
      <w:r w:rsidR="00CB4BC4">
        <w:rPr>
          <w:sz w:val="24"/>
          <w:szCs w:val="24"/>
          <w:lang w:val="es-ES"/>
        </w:rPr>
        <w:t>146-02 sobre seguros y fianzas.</w:t>
      </w:r>
    </w:p>
    <w:p w:rsidR="00CB4BC4" w:rsidRDefault="00A954B8" w:rsidP="0010781A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Resolución</w:t>
      </w:r>
      <w:r w:rsidR="00CB4BC4">
        <w:rPr>
          <w:sz w:val="24"/>
          <w:szCs w:val="24"/>
          <w:lang w:val="es-ES"/>
        </w:rPr>
        <w:t xml:space="preserve"> </w:t>
      </w:r>
      <w:r w:rsidR="00E47383">
        <w:rPr>
          <w:sz w:val="24"/>
          <w:szCs w:val="24"/>
          <w:lang w:val="es-ES"/>
        </w:rPr>
        <w:t>N</w:t>
      </w:r>
      <w:r w:rsidR="001E5580">
        <w:rPr>
          <w:sz w:val="24"/>
          <w:szCs w:val="24"/>
          <w:lang w:val="es-ES"/>
        </w:rPr>
        <w:t>o.05-</w:t>
      </w:r>
      <w:r w:rsidR="00CB4BC4">
        <w:rPr>
          <w:sz w:val="24"/>
          <w:szCs w:val="24"/>
          <w:lang w:val="es-ES"/>
        </w:rPr>
        <w:t xml:space="preserve">18 </w:t>
      </w:r>
      <w:r>
        <w:rPr>
          <w:sz w:val="24"/>
          <w:szCs w:val="24"/>
          <w:lang w:val="es-ES"/>
        </w:rPr>
        <w:t>de</w:t>
      </w:r>
      <w:r w:rsidR="00CB4BC4">
        <w:rPr>
          <w:sz w:val="24"/>
          <w:szCs w:val="24"/>
          <w:lang w:val="es-ES"/>
        </w:rPr>
        <w:t xml:space="preserve"> fecha 30 de mayo del 2018 que </w:t>
      </w:r>
      <w:r w:rsidR="00376F9E">
        <w:rPr>
          <w:sz w:val="24"/>
          <w:szCs w:val="24"/>
          <w:lang w:val="es-ES"/>
        </w:rPr>
        <w:t xml:space="preserve">autoriza </w:t>
      </w:r>
      <w:r w:rsidR="000E1426">
        <w:rPr>
          <w:sz w:val="24"/>
          <w:szCs w:val="24"/>
          <w:lang w:val="es-ES"/>
        </w:rPr>
        <w:t xml:space="preserve">a las compañías de seguros y </w:t>
      </w:r>
      <w:r>
        <w:rPr>
          <w:sz w:val="24"/>
          <w:szCs w:val="24"/>
          <w:lang w:val="es-ES"/>
        </w:rPr>
        <w:t>reaseguros</w:t>
      </w:r>
      <w:r w:rsidR="000E1426">
        <w:rPr>
          <w:sz w:val="24"/>
          <w:szCs w:val="24"/>
          <w:lang w:val="es-ES"/>
        </w:rPr>
        <w:t xml:space="preserve"> para que puedan </w:t>
      </w:r>
      <w:r w:rsidR="00376F9E">
        <w:rPr>
          <w:sz w:val="24"/>
          <w:szCs w:val="24"/>
          <w:lang w:val="es-ES"/>
        </w:rPr>
        <w:t xml:space="preserve">invertir </w:t>
      </w:r>
      <w:r w:rsidR="000E1426">
        <w:rPr>
          <w:sz w:val="24"/>
          <w:szCs w:val="24"/>
          <w:lang w:val="es-ES"/>
        </w:rPr>
        <w:t>las Reservas</w:t>
      </w:r>
      <w:r w:rsidR="00376F9E">
        <w:rPr>
          <w:sz w:val="24"/>
          <w:szCs w:val="24"/>
          <w:lang w:val="es-ES"/>
        </w:rPr>
        <w:t xml:space="preserve"> en </w:t>
      </w:r>
      <w:r w:rsidR="000E1426">
        <w:rPr>
          <w:sz w:val="24"/>
          <w:szCs w:val="24"/>
          <w:lang w:val="es-ES"/>
        </w:rPr>
        <w:t>diversos instrumentos de inversión</w:t>
      </w:r>
      <w:r w:rsidR="00376F9E">
        <w:rPr>
          <w:sz w:val="24"/>
          <w:szCs w:val="24"/>
          <w:lang w:val="es-ES"/>
        </w:rPr>
        <w:t xml:space="preserve"> autorizados por la Superintendencia de Valores</w:t>
      </w:r>
      <w:r w:rsidR="000E1426">
        <w:rPr>
          <w:sz w:val="24"/>
          <w:szCs w:val="24"/>
          <w:lang w:val="es-ES"/>
        </w:rPr>
        <w:t>.</w:t>
      </w:r>
    </w:p>
    <w:p w:rsidR="000E1426" w:rsidRDefault="00A954B8" w:rsidP="0010781A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Resolución</w:t>
      </w:r>
      <w:r w:rsidR="00EB2B4F">
        <w:rPr>
          <w:sz w:val="24"/>
          <w:szCs w:val="24"/>
          <w:lang w:val="es-ES"/>
        </w:rPr>
        <w:t xml:space="preserve"> N</w:t>
      </w:r>
      <w:r w:rsidR="000E1426">
        <w:rPr>
          <w:sz w:val="24"/>
          <w:szCs w:val="24"/>
          <w:lang w:val="es-ES"/>
        </w:rPr>
        <w:t>o</w:t>
      </w:r>
      <w:r>
        <w:rPr>
          <w:sz w:val="24"/>
          <w:szCs w:val="24"/>
          <w:lang w:val="es-ES"/>
        </w:rPr>
        <w:t>.</w:t>
      </w:r>
      <w:r w:rsidR="00EB2B4F">
        <w:rPr>
          <w:sz w:val="24"/>
          <w:szCs w:val="24"/>
          <w:lang w:val="es-ES"/>
        </w:rPr>
        <w:t>06-</w:t>
      </w:r>
      <w:r w:rsidR="000E1426">
        <w:rPr>
          <w:sz w:val="24"/>
          <w:szCs w:val="24"/>
          <w:lang w:val="es-ES"/>
        </w:rPr>
        <w:t>18 de fecha 10 de julio del 2018 que levanta la suspensión temporal para operar el ramo de fianzas a la aseguradora AMIGOS COMPAÑÍA DE SEGUROS</w:t>
      </w:r>
      <w:r>
        <w:rPr>
          <w:sz w:val="24"/>
          <w:szCs w:val="24"/>
          <w:lang w:val="es-ES"/>
        </w:rPr>
        <w:t>, S.A</w:t>
      </w:r>
      <w:r w:rsidR="000E1426">
        <w:rPr>
          <w:sz w:val="24"/>
          <w:szCs w:val="24"/>
          <w:lang w:val="es-ES"/>
        </w:rPr>
        <w:t>.</w:t>
      </w:r>
    </w:p>
    <w:p w:rsidR="000E1426" w:rsidRDefault="00A954B8" w:rsidP="0010781A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Resolución</w:t>
      </w:r>
      <w:r w:rsidR="00EB2B4F">
        <w:rPr>
          <w:sz w:val="24"/>
          <w:szCs w:val="24"/>
          <w:lang w:val="es-ES"/>
        </w:rPr>
        <w:t xml:space="preserve"> No.07-</w:t>
      </w:r>
      <w:r w:rsidR="000E1426">
        <w:rPr>
          <w:sz w:val="24"/>
          <w:szCs w:val="24"/>
          <w:lang w:val="es-ES"/>
        </w:rPr>
        <w:t>18 de fecha 14 de agosto del 2018. Mediante la cual se impone a ATLANTICA SEGUROS</w:t>
      </w:r>
      <w:r>
        <w:rPr>
          <w:sz w:val="24"/>
          <w:szCs w:val="24"/>
          <w:lang w:val="es-ES"/>
        </w:rPr>
        <w:t>, S.A</w:t>
      </w:r>
      <w:r w:rsidR="000E1426">
        <w:rPr>
          <w:sz w:val="24"/>
          <w:szCs w:val="24"/>
          <w:lang w:val="es-ES"/>
        </w:rPr>
        <w:t xml:space="preserve">. una multa de veinte salarios </w:t>
      </w:r>
      <w:r>
        <w:rPr>
          <w:sz w:val="24"/>
          <w:szCs w:val="24"/>
          <w:lang w:val="es-ES"/>
        </w:rPr>
        <w:t>mínimos</w:t>
      </w:r>
      <w:r w:rsidR="000E1426">
        <w:rPr>
          <w:sz w:val="24"/>
          <w:szCs w:val="24"/>
          <w:lang w:val="es-ES"/>
        </w:rPr>
        <w:t>, conforme a la escala establecida por el Ministerio de Trabajo, por haber violado las disposiciones de l</w:t>
      </w:r>
      <w:r w:rsidR="00EB2B4F">
        <w:rPr>
          <w:sz w:val="24"/>
          <w:szCs w:val="24"/>
          <w:lang w:val="es-ES"/>
        </w:rPr>
        <w:t>os artículos 36, 38 y 39 de la L</w:t>
      </w:r>
      <w:r w:rsidR="000E1426">
        <w:rPr>
          <w:sz w:val="24"/>
          <w:szCs w:val="24"/>
          <w:lang w:val="es-ES"/>
        </w:rPr>
        <w:t xml:space="preserve">ey </w:t>
      </w:r>
      <w:r w:rsidR="00EB2B4F">
        <w:rPr>
          <w:sz w:val="24"/>
          <w:szCs w:val="24"/>
          <w:lang w:val="es-ES"/>
        </w:rPr>
        <w:t xml:space="preserve">No. </w:t>
      </w:r>
      <w:r w:rsidR="000E1426">
        <w:rPr>
          <w:sz w:val="24"/>
          <w:szCs w:val="24"/>
          <w:lang w:val="es-ES"/>
        </w:rPr>
        <w:t>146-02 sobre seguros y fianzas.</w:t>
      </w:r>
    </w:p>
    <w:p w:rsidR="00EB2B4F" w:rsidRDefault="00EB2B4F" w:rsidP="0010781A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Resolución No. 08-18 de fecha 31 de octubre del 2018 que modifica la estructura orgánica de la Superintendencia de Seguros.</w:t>
      </w:r>
    </w:p>
    <w:p w:rsidR="000E1426" w:rsidRDefault="00A954B8" w:rsidP="0010781A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Resolución</w:t>
      </w:r>
      <w:r w:rsidR="00EB2B4F">
        <w:rPr>
          <w:sz w:val="24"/>
          <w:szCs w:val="24"/>
          <w:lang w:val="es-ES"/>
        </w:rPr>
        <w:t xml:space="preserve"> N</w:t>
      </w:r>
      <w:r w:rsidR="00393515">
        <w:rPr>
          <w:sz w:val="24"/>
          <w:szCs w:val="24"/>
          <w:lang w:val="es-ES"/>
        </w:rPr>
        <w:t>o.</w:t>
      </w:r>
      <w:r w:rsidR="00EB2B4F">
        <w:rPr>
          <w:sz w:val="24"/>
          <w:szCs w:val="24"/>
          <w:lang w:val="es-ES"/>
        </w:rPr>
        <w:t xml:space="preserve"> 09-</w:t>
      </w:r>
      <w:r w:rsidR="00393515">
        <w:rPr>
          <w:sz w:val="24"/>
          <w:szCs w:val="24"/>
          <w:lang w:val="es-ES"/>
        </w:rPr>
        <w:t>18 de fecha 12 de octubre del 2018 que autoriza a la compañía HYLSG SEGUROS.S.A. a operar el negocio de seguros en todos los ramos en el territorio nacional.</w:t>
      </w:r>
    </w:p>
    <w:p w:rsidR="00393515" w:rsidRDefault="00393515" w:rsidP="0010781A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Fueron actualizados diversos Fondos de </w:t>
      </w:r>
      <w:r w:rsidR="00A954B8">
        <w:rPr>
          <w:sz w:val="24"/>
          <w:szCs w:val="24"/>
          <w:lang w:val="es-ES"/>
        </w:rPr>
        <w:t>Garantía</w:t>
      </w:r>
      <w:r>
        <w:rPr>
          <w:sz w:val="24"/>
          <w:szCs w:val="24"/>
          <w:lang w:val="es-ES"/>
        </w:rPr>
        <w:t xml:space="preserve"> a diversas compañías a requerimiento de esta superintendencia.</w:t>
      </w:r>
    </w:p>
    <w:p w:rsidR="0010781A" w:rsidRPr="00A22036" w:rsidRDefault="00393515" w:rsidP="00A22036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Le fue aprobada la solicitud de cambio de nombre de MULTISEGUROS MEHR</w:t>
      </w:r>
      <w:r w:rsidR="00A954B8">
        <w:rPr>
          <w:sz w:val="24"/>
          <w:szCs w:val="24"/>
          <w:lang w:val="es-ES"/>
        </w:rPr>
        <w:t>, S.A</w:t>
      </w:r>
      <w:r>
        <w:rPr>
          <w:sz w:val="24"/>
          <w:szCs w:val="24"/>
          <w:lang w:val="es-ES"/>
        </w:rPr>
        <w:t>. por MULTISEGUROS</w:t>
      </w:r>
      <w:r w:rsidR="00EB2B4F">
        <w:rPr>
          <w:sz w:val="24"/>
          <w:szCs w:val="24"/>
          <w:lang w:val="es-ES"/>
        </w:rPr>
        <w:t>, S. U.</w:t>
      </w:r>
      <w:r w:rsidR="00A954B8">
        <w:rPr>
          <w:sz w:val="24"/>
          <w:szCs w:val="24"/>
          <w:lang w:val="es-ES"/>
        </w:rPr>
        <w:t xml:space="preserve"> S.A.</w:t>
      </w:r>
    </w:p>
    <w:p w:rsidR="00376F9E" w:rsidRDefault="00376F9E" w:rsidP="0010781A">
      <w:pPr>
        <w:spacing w:line="360" w:lineRule="auto"/>
        <w:jc w:val="both"/>
        <w:rPr>
          <w:sz w:val="24"/>
          <w:szCs w:val="24"/>
          <w:lang w:val="es-ES"/>
        </w:rPr>
      </w:pPr>
    </w:p>
    <w:p w:rsidR="0022472E" w:rsidRDefault="00610B00" w:rsidP="0010781A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 monitoreo el cumplimiento metodológico de cada empresa aseguradora, el </w:t>
      </w:r>
      <w:r w:rsidR="00A954B8">
        <w:rPr>
          <w:sz w:val="24"/>
          <w:szCs w:val="24"/>
          <w:lang w:val="es-ES"/>
        </w:rPr>
        <w:t>cálculo</w:t>
      </w:r>
      <w:r>
        <w:rPr>
          <w:sz w:val="24"/>
          <w:szCs w:val="24"/>
          <w:lang w:val="es-ES"/>
        </w:rPr>
        <w:t xml:space="preserve"> del margen de solvencia tanto en función de las primas como en función de los siniestros, </w:t>
      </w:r>
      <w:r w:rsidR="00A954B8">
        <w:rPr>
          <w:sz w:val="24"/>
          <w:szCs w:val="24"/>
          <w:lang w:val="es-ES"/>
        </w:rPr>
        <w:t>así</w:t>
      </w:r>
      <w:r>
        <w:rPr>
          <w:sz w:val="24"/>
          <w:szCs w:val="24"/>
          <w:lang w:val="es-ES"/>
        </w:rPr>
        <w:t xml:space="preserve"> como el patrimonio técnico ajustado y la liquidez </w:t>
      </w:r>
      <w:r w:rsidR="00A954B8">
        <w:rPr>
          <w:sz w:val="24"/>
          <w:szCs w:val="24"/>
          <w:lang w:val="es-ES"/>
        </w:rPr>
        <w:t>mínima</w:t>
      </w:r>
      <w:r w:rsidR="0022472E">
        <w:rPr>
          <w:sz w:val="24"/>
          <w:szCs w:val="24"/>
          <w:lang w:val="es-ES"/>
        </w:rPr>
        <w:t xml:space="preserve"> requerida y</w:t>
      </w:r>
      <w:r w:rsidR="0022472E" w:rsidRPr="0022472E">
        <w:rPr>
          <w:sz w:val="24"/>
          <w:szCs w:val="24"/>
          <w:lang w:val="es-ES"/>
        </w:rPr>
        <w:t xml:space="preserve"> </w:t>
      </w:r>
      <w:r w:rsidR="0022472E">
        <w:rPr>
          <w:sz w:val="24"/>
          <w:szCs w:val="24"/>
          <w:lang w:val="es-ES"/>
        </w:rPr>
        <w:t>aprobados diversos modelos de pólizas de seguros.</w:t>
      </w:r>
    </w:p>
    <w:p w:rsidR="0010781A" w:rsidRDefault="0022472E" w:rsidP="0010781A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</w:p>
    <w:p w:rsidR="00610B00" w:rsidRDefault="00610B00" w:rsidP="0010781A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 publicaron los márgenes de solvencia y liquidez </w:t>
      </w:r>
      <w:r w:rsidR="00A954B8">
        <w:rPr>
          <w:sz w:val="24"/>
          <w:szCs w:val="24"/>
          <w:lang w:val="es-ES"/>
        </w:rPr>
        <w:t>mínima</w:t>
      </w:r>
      <w:r>
        <w:rPr>
          <w:sz w:val="24"/>
          <w:szCs w:val="24"/>
          <w:lang w:val="es-ES"/>
        </w:rPr>
        <w:t xml:space="preserve"> requerida de las compañías de seguros y reaseguros de la </w:t>
      </w:r>
      <w:r w:rsidR="0022472E">
        <w:rPr>
          <w:sz w:val="24"/>
          <w:szCs w:val="24"/>
          <w:lang w:val="es-ES"/>
        </w:rPr>
        <w:t>República</w:t>
      </w:r>
      <w:r>
        <w:rPr>
          <w:sz w:val="24"/>
          <w:szCs w:val="24"/>
          <w:lang w:val="es-ES"/>
        </w:rPr>
        <w:t xml:space="preserve"> Dominicana, correspon</w:t>
      </w:r>
      <w:r w:rsidR="001D7C5D">
        <w:rPr>
          <w:sz w:val="24"/>
          <w:szCs w:val="24"/>
          <w:lang w:val="es-ES"/>
        </w:rPr>
        <w:t>dientes al 31 de diciembre 2017,31 de marzo, 30 de junio y 30 de septiembre 2018, estos dos últimos pendientes de publicación.</w:t>
      </w:r>
    </w:p>
    <w:p w:rsidR="00610B00" w:rsidRDefault="00610B00" w:rsidP="0010781A">
      <w:pPr>
        <w:spacing w:line="360" w:lineRule="auto"/>
        <w:jc w:val="both"/>
        <w:rPr>
          <w:sz w:val="24"/>
          <w:szCs w:val="24"/>
          <w:lang w:val="es-ES"/>
        </w:rPr>
      </w:pPr>
    </w:p>
    <w:p w:rsidR="0010781A" w:rsidRDefault="0022472E" w:rsidP="0010781A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Análisis de</w:t>
      </w:r>
      <w:r w:rsidR="0010781A">
        <w:rPr>
          <w:sz w:val="24"/>
          <w:szCs w:val="24"/>
          <w:lang w:val="es-ES"/>
        </w:rPr>
        <w:t xml:space="preserve"> los</w:t>
      </w:r>
      <w:r w:rsidR="00CA6E18">
        <w:rPr>
          <w:sz w:val="24"/>
          <w:szCs w:val="24"/>
          <w:lang w:val="es-ES"/>
        </w:rPr>
        <w:t xml:space="preserve"> Estados Financiero auditados</w:t>
      </w:r>
      <w:r w:rsidR="0010781A">
        <w:rPr>
          <w:sz w:val="24"/>
          <w:szCs w:val="24"/>
          <w:lang w:val="es-ES"/>
        </w:rPr>
        <w:t xml:space="preserve"> </w:t>
      </w:r>
      <w:r w:rsidR="001D7C5D">
        <w:rPr>
          <w:sz w:val="24"/>
          <w:szCs w:val="24"/>
          <w:lang w:val="es-ES"/>
        </w:rPr>
        <w:t xml:space="preserve">de </w:t>
      </w:r>
      <w:r w:rsidR="006B12EF">
        <w:rPr>
          <w:sz w:val="24"/>
          <w:szCs w:val="24"/>
          <w:lang w:val="es-ES"/>
        </w:rPr>
        <w:t>treinta y dos (</w:t>
      </w:r>
      <w:r w:rsidR="001D7C5D">
        <w:rPr>
          <w:sz w:val="24"/>
          <w:szCs w:val="24"/>
          <w:lang w:val="es-ES"/>
        </w:rPr>
        <w:t>32</w:t>
      </w:r>
      <w:r w:rsidR="006B12EF">
        <w:rPr>
          <w:sz w:val="24"/>
          <w:szCs w:val="24"/>
          <w:lang w:val="es-ES"/>
        </w:rPr>
        <w:t>)</w:t>
      </w:r>
      <w:r w:rsidR="001D7C5D">
        <w:rPr>
          <w:sz w:val="24"/>
          <w:szCs w:val="24"/>
          <w:lang w:val="es-ES"/>
        </w:rPr>
        <w:t xml:space="preserve"> compañías aseguradoras del 2017 y trimestrales al 2018</w:t>
      </w:r>
      <w:r w:rsidR="00AE6654">
        <w:rPr>
          <w:sz w:val="24"/>
          <w:szCs w:val="24"/>
          <w:lang w:val="es-ES"/>
        </w:rPr>
        <w:t xml:space="preserve"> </w:t>
      </w:r>
      <w:r w:rsidR="006B12EF">
        <w:rPr>
          <w:sz w:val="24"/>
          <w:szCs w:val="24"/>
          <w:lang w:val="es-ES"/>
        </w:rPr>
        <w:t xml:space="preserve">de </w:t>
      </w:r>
      <w:r w:rsidR="00AE6654">
        <w:rPr>
          <w:sz w:val="24"/>
          <w:szCs w:val="24"/>
          <w:lang w:val="es-ES"/>
        </w:rPr>
        <w:t xml:space="preserve">sesenta </w:t>
      </w:r>
      <w:r w:rsidR="00C92A91">
        <w:rPr>
          <w:sz w:val="24"/>
          <w:szCs w:val="24"/>
          <w:lang w:val="es-ES"/>
        </w:rPr>
        <w:t xml:space="preserve">y dos </w:t>
      </w:r>
      <w:r w:rsidR="006B12EF">
        <w:rPr>
          <w:sz w:val="24"/>
          <w:szCs w:val="24"/>
          <w:lang w:val="es-ES"/>
        </w:rPr>
        <w:t xml:space="preserve">(62) </w:t>
      </w:r>
      <w:r w:rsidR="00C92A91">
        <w:rPr>
          <w:sz w:val="24"/>
          <w:szCs w:val="24"/>
          <w:lang w:val="es-ES"/>
        </w:rPr>
        <w:t>totalizando noventa y cuatro</w:t>
      </w:r>
      <w:r w:rsidR="006B12EF">
        <w:rPr>
          <w:sz w:val="24"/>
          <w:szCs w:val="24"/>
          <w:lang w:val="es-ES"/>
        </w:rPr>
        <w:t xml:space="preserve"> (94) compañías</w:t>
      </w:r>
      <w:r w:rsidR="00A954B8">
        <w:rPr>
          <w:sz w:val="24"/>
          <w:szCs w:val="24"/>
          <w:lang w:val="es-ES"/>
        </w:rPr>
        <w:t>.</w:t>
      </w:r>
    </w:p>
    <w:p w:rsidR="00312472" w:rsidRDefault="00312472" w:rsidP="0010781A">
      <w:pPr>
        <w:spacing w:line="360" w:lineRule="auto"/>
        <w:jc w:val="both"/>
        <w:rPr>
          <w:sz w:val="24"/>
          <w:szCs w:val="24"/>
          <w:lang w:val="es-ES"/>
        </w:rPr>
      </w:pPr>
    </w:p>
    <w:p w:rsidR="0064416A" w:rsidRDefault="0010781A" w:rsidP="0010781A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Elaboramos el informe de Alertas Negativas de las compañías aseguradoras y reaseguradoras de los estados financieros audit</w:t>
      </w:r>
      <w:r w:rsidR="0064416A">
        <w:rPr>
          <w:sz w:val="24"/>
          <w:szCs w:val="24"/>
          <w:lang w:val="es-ES"/>
        </w:rPr>
        <w:t>ados d</w:t>
      </w:r>
      <w:r w:rsidR="00AE6654">
        <w:rPr>
          <w:sz w:val="24"/>
          <w:szCs w:val="24"/>
          <w:lang w:val="es-ES"/>
        </w:rPr>
        <w:t>el 2017 y los trimestrales 2018</w:t>
      </w:r>
      <w:r w:rsidR="0064416A">
        <w:rPr>
          <w:sz w:val="24"/>
          <w:szCs w:val="24"/>
          <w:lang w:val="es-ES"/>
        </w:rPr>
        <w:t xml:space="preserve"> </w:t>
      </w:r>
      <w:r w:rsidR="0022472E">
        <w:rPr>
          <w:sz w:val="24"/>
          <w:szCs w:val="24"/>
          <w:lang w:val="es-ES"/>
        </w:rPr>
        <w:t>y elaborado el boletín estadístico 2016-2017.</w:t>
      </w:r>
    </w:p>
    <w:p w:rsidR="00B55DD3" w:rsidRDefault="00B55DD3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201786" w:rsidRDefault="00201786" w:rsidP="00236EC9">
      <w:pPr>
        <w:spacing w:before="240" w:line="360" w:lineRule="auto"/>
        <w:jc w:val="both"/>
        <w:rPr>
          <w:sz w:val="24"/>
          <w:szCs w:val="24"/>
          <w:lang w:val="es-ES"/>
        </w:rPr>
      </w:pPr>
    </w:p>
    <w:p w:rsidR="000D656F" w:rsidRDefault="00A3356E" w:rsidP="00236EC9">
      <w:pPr>
        <w:spacing w:before="240" w:line="360" w:lineRule="auto"/>
        <w:jc w:val="both"/>
        <w:rPr>
          <w:b/>
          <w:sz w:val="24"/>
          <w:szCs w:val="24"/>
          <w:lang w:val="es-ES"/>
        </w:rPr>
      </w:pPr>
      <w:r w:rsidRPr="009137AE">
        <w:rPr>
          <w:sz w:val="24"/>
          <w:szCs w:val="24"/>
          <w:lang w:val="es-ES"/>
        </w:rPr>
        <w:lastRenderedPageBreak/>
        <w:t xml:space="preserve">Las primas </w:t>
      </w:r>
      <w:r>
        <w:rPr>
          <w:sz w:val="24"/>
          <w:szCs w:val="24"/>
          <w:lang w:val="es-ES"/>
        </w:rPr>
        <w:t>n</w:t>
      </w:r>
      <w:r w:rsidRPr="009137AE">
        <w:rPr>
          <w:sz w:val="24"/>
          <w:szCs w:val="24"/>
          <w:lang w:val="es-ES"/>
        </w:rPr>
        <w:t xml:space="preserve">etas y </w:t>
      </w:r>
      <w:r>
        <w:rPr>
          <w:sz w:val="24"/>
          <w:szCs w:val="24"/>
          <w:lang w:val="es-ES"/>
        </w:rPr>
        <w:t>e</w:t>
      </w:r>
      <w:r w:rsidRPr="009137AE">
        <w:rPr>
          <w:sz w:val="24"/>
          <w:szCs w:val="24"/>
          <w:lang w:val="es-ES"/>
        </w:rPr>
        <w:t xml:space="preserve">xoneradas </w:t>
      </w:r>
      <w:r>
        <w:rPr>
          <w:sz w:val="24"/>
          <w:szCs w:val="24"/>
          <w:lang w:val="es-ES"/>
        </w:rPr>
        <w:t>c</w:t>
      </w:r>
      <w:r w:rsidRPr="009137AE">
        <w:rPr>
          <w:sz w:val="24"/>
          <w:szCs w:val="24"/>
          <w:lang w:val="es-ES"/>
        </w:rPr>
        <w:t xml:space="preserve">obradas en el período que nos ocupa alcanzaron un </w:t>
      </w:r>
      <w:r w:rsidR="00DA3940">
        <w:rPr>
          <w:sz w:val="24"/>
          <w:szCs w:val="24"/>
          <w:lang w:val="es-ES"/>
        </w:rPr>
        <w:t>monto</w:t>
      </w:r>
      <w:r w:rsidRPr="009137AE">
        <w:rPr>
          <w:sz w:val="24"/>
          <w:szCs w:val="24"/>
          <w:lang w:val="es-ES"/>
        </w:rPr>
        <w:t xml:space="preserve"> de </w:t>
      </w:r>
      <w:r w:rsidR="0022472E">
        <w:rPr>
          <w:sz w:val="24"/>
          <w:szCs w:val="24"/>
          <w:lang w:val="es-ES"/>
        </w:rPr>
        <w:t xml:space="preserve">        </w:t>
      </w:r>
      <w:r w:rsidRPr="009137AE">
        <w:rPr>
          <w:b/>
          <w:sz w:val="24"/>
          <w:szCs w:val="24"/>
          <w:lang w:val="es-ES"/>
        </w:rPr>
        <w:t>RD$</w:t>
      </w:r>
      <w:r w:rsidR="00AE6654">
        <w:rPr>
          <w:b/>
          <w:sz w:val="24"/>
          <w:szCs w:val="24"/>
          <w:lang w:val="es-ES"/>
        </w:rPr>
        <w:t xml:space="preserve"> 56,260,543,957</w:t>
      </w:r>
      <w:r w:rsidR="0022472E">
        <w:rPr>
          <w:b/>
          <w:sz w:val="24"/>
          <w:szCs w:val="24"/>
          <w:lang w:val="es-ES"/>
        </w:rPr>
        <w:t>.</w:t>
      </w:r>
      <w:r w:rsidR="00AE6654">
        <w:rPr>
          <w:b/>
          <w:sz w:val="24"/>
          <w:szCs w:val="24"/>
          <w:lang w:val="es-ES"/>
        </w:rPr>
        <w:t>00</w:t>
      </w:r>
      <w:r w:rsidR="0022472E">
        <w:rPr>
          <w:b/>
          <w:sz w:val="24"/>
          <w:szCs w:val="24"/>
          <w:lang w:val="es-ES"/>
        </w:rPr>
        <w:t xml:space="preserve"> </w:t>
      </w:r>
      <w:r w:rsidR="00AE6654">
        <w:rPr>
          <w:b/>
          <w:sz w:val="24"/>
          <w:szCs w:val="24"/>
          <w:lang w:val="es-ES"/>
        </w:rPr>
        <w:t>(cincuenta y seis mil doscientos sese</w:t>
      </w:r>
      <w:r w:rsidR="00236EC9">
        <w:rPr>
          <w:b/>
          <w:sz w:val="24"/>
          <w:szCs w:val="24"/>
          <w:lang w:val="es-ES"/>
        </w:rPr>
        <w:t>nta millones, quinientos cuarenta y tres mil novecientos cincuenta y siete pesos con 00/100</w:t>
      </w:r>
      <w:r w:rsidR="0022472E">
        <w:rPr>
          <w:b/>
          <w:sz w:val="24"/>
          <w:szCs w:val="24"/>
          <w:lang w:val="es-ES"/>
        </w:rPr>
        <w:t>)</w:t>
      </w:r>
      <w:r w:rsidR="00236EC9">
        <w:rPr>
          <w:b/>
          <w:sz w:val="24"/>
          <w:szCs w:val="24"/>
          <w:lang w:val="es-ES"/>
        </w:rPr>
        <w:t xml:space="preserve"> de los cuales </w:t>
      </w:r>
      <w:r w:rsidR="0022472E">
        <w:rPr>
          <w:b/>
          <w:sz w:val="24"/>
          <w:szCs w:val="24"/>
          <w:lang w:val="es-ES"/>
        </w:rPr>
        <w:t xml:space="preserve">                                        </w:t>
      </w:r>
      <w:r w:rsidR="00236EC9">
        <w:rPr>
          <w:b/>
          <w:sz w:val="24"/>
          <w:szCs w:val="24"/>
          <w:lang w:val="es-ES"/>
        </w:rPr>
        <w:t>RD</w:t>
      </w:r>
      <w:r w:rsidR="0022472E" w:rsidRPr="009137AE">
        <w:rPr>
          <w:b/>
          <w:sz w:val="24"/>
          <w:szCs w:val="24"/>
          <w:lang w:val="es-ES"/>
        </w:rPr>
        <w:t>$</w:t>
      </w:r>
      <w:r w:rsidR="00236EC9">
        <w:rPr>
          <w:b/>
          <w:sz w:val="24"/>
          <w:szCs w:val="24"/>
          <w:lang w:val="es-ES"/>
        </w:rPr>
        <w:t xml:space="preserve"> 42,195,407,9</w:t>
      </w:r>
      <w:r w:rsidR="00A954B8">
        <w:rPr>
          <w:b/>
          <w:sz w:val="24"/>
          <w:szCs w:val="24"/>
          <w:lang w:val="es-ES"/>
        </w:rPr>
        <w:t>68.00</w:t>
      </w:r>
      <w:r w:rsidR="0022472E">
        <w:rPr>
          <w:b/>
          <w:sz w:val="24"/>
          <w:szCs w:val="24"/>
          <w:lang w:val="es-ES"/>
        </w:rPr>
        <w:t xml:space="preserve"> </w:t>
      </w:r>
      <w:r w:rsidR="00A954B8">
        <w:rPr>
          <w:b/>
          <w:sz w:val="24"/>
          <w:szCs w:val="24"/>
          <w:lang w:val="es-ES"/>
        </w:rPr>
        <w:t xml:space="preserve">(cuarenta y dos mil ciento noventa y </w:t>
      </w:r>
      <w:r w:rsidR="00236EC9">
        <w:rPr>
          <w:b/>
          <w:sz w:val="24"/>
          <w:szCs w:val="24"/>
          <w:lang w:val="es-ES"/>
        </w:rPr>
        <w:t>cinco millones, cuatrocientos siete mil novecientos sesenta y ocho pesos con 00/100)</w:t>
      </w:r>
      <w:r w:rsidR="006E20E2">
        <w:rPr>
          <w:b/>
          <w:sz w:val="24"/>
          <w:szCs w:val="24"/>
          <w:lang w:val="es-ES"/>
        </w:rPr>
        <w:t xml:space="preserve"> corresponden a primas netas y RD$14,065,135,989.00</w:t>
      </w:r>
      <w:r w:rsidR="002023C9">
        <w:rPr>
          <w:b/>
          <w:sz w:val="24"/>
          <w:szCs w:val="24"/>
          <w:lang w:val="es-ES"/>
        </w:rPr>
        <w:t xml:space="preserve"> </w:t>
      </w:r>
      <w:r w:rsidR="006E20E2">
        <w:rPr>
          <w:b/>
          <w:sz w:val="24"/>
          <w:szCs w:val="24"/>
          <w:lang w:val="es-ES"/>
        </w:rPr>
        <w:t>(catorce mil sesenta y c</w:t>
      </w:r>
      <w:r w:rsidR="00A954B8">
        <w:rPr>
          <w:b/>
          <w:sz w:val="24"/>
          <w:szCs w:val="24"/>
          <w:lang w:val="es-ES"/>
        </w:rPr>
        <w:t xml:space="preserve">inco millones, ciento treinta y </w:t>
      </w:r>
      <w:r w:rsidR="006E20E2">
        <w:rPr>
          <w:b/>
          <w:sz w:val="24"/>
          <w:szCs w:val="24"/>
          <w:lang w:val="es-ES"/>
        </w:rPr>
        <w:t>cinco mil nov</w:t>
      </w:r>
      <w:r w:rsidR="002023C9">
        <w:rPr>
          <w:b/>
          <w:sz w:val="24"/>
          <w:szCs w:val="24"/>
          <w:lang w:val="es-ES"/>
        </w:rPr>
        <w:t xml:space="preserve">ecientos ochenta y nueve pesos con 00/100) </w:t>
      </w:r>
      <w:r w:rsidR="006E20E2">
        <w:rPr>
          <w:b/>
          <w:sz w:val="24"/>
          <w:szCs w:val="24"/>
          <w:lang w:val="es-ES"/>
        </w:rPr>
        <w:t>corresponden  a primas exoneradas.</w:t>
      </w:r>
    </w:p>
    <w:p w:rsidR="00312472" w:rsidRDefault="00312472" w:rsidP="00A3356E">
      <w:pPr>
        <w:spacing w:line="360" w:lineRule="auto"/>
        <w:jc w:val="both"/>
        <w:rPr>
          <w:sz w:val="24"/>
          <w:szCs w:val="24"/>
          <w:lang w:eastAsia="es-ES_tradnl"/>
        </w:rPr>
      </w:pPr>
    </w:p>
    <w:p w:rsidR="00A3356E" w:rsidRDefault="00A3356E" w:rsidP="00A3356E">
      <w:pPr>
        <w:spacing w:line="360" w:lineRule="auto"/>
        <w:jc w:val="both"/>
        <w:rPr>
          <w:sz w:val="26"/>
          <w:szCs w:val="26"/>
          <w:lang w:eastAsia="es-ES_tradnl"/>
        </w:rPr>
      </w:pPr>
      <w:r w:rsidRPr="00597D43">
        <w:rPr>
          <w:sz w:val="24"/>
          <w:szCs w:val="24"/>
          <w:lang w:eastAsia="es-ES_tradnl"/>
        </w:rPr>
        <w:t>En este período las primas netas experimentaron una variación absoluta con relación al mismo período del</w:t>
      </w:r>
      <w:r w:rsidR="008863C4">
        <w:rPr>
          <w:sz w:val="24"/>
          <w:szCs w:val="24"/>
          <w:lang w:eastAsia="es-ES_tradnl"/>
        </w:rPr>
        <w:t xml:space="preserve"> 2017</w:t>
      </w:r>
      <w:r w:rsidR="00E666E4">
        <w:rPr>
          <w:sz w:val="24"/>
          <w:szCs w:val="24"/>
          <w:lang w:eastAsia="es-ES_tradnl"/>
        </w:rPr>
        <w:t xml:space="preserve"> por un monto de</w:t>
      </w:r>
      <w:r w:rsidR="0088740A">
        <w:rPr>
          <w:sz w:val="24"/>
          <w:szCs w:val="24"/>
          <w:lang w:eastAsia="es-ES_tradnl"/>
        </w:rPr>
        <w:t xml:space="preserve"> </w:t>
      </w:r>
      <w:r w:rsidR="00E666E4">
        <w:rPr>
          <w:sz w:val="24"/>
          <w:szCs w:val="24"/>
          <w:lang w:eastAsia="es-ES_tradnl"/>
        </w:rPr>
        <w:t>RD$</w:t>
      </w:r>
      <w:r w:rsidR="0088740A">
        <w:rPr>
          <w:sz w:val="24"/>
          <w:szCs w:val="24"/>
          <w:lang w:eastAsia="es-ES_tradnl"/>
        </w:rPr>
        <w:t xml:space="preserve"> </w:t>
      </w:r>
      <w:r w:rsidR="008863C4">
        <w:rPr>
          <w:sz w:val="24"/>
          <w:szCs w:val="24"/>
          <w:lang w:eastAsia="es-ES_tradnl"/>
        </w:rPr>
        <w:t>6</w:t>
      </w:r>
      <w:r w:rsidR="00426DAF">
        <w:rPr>
          <w:sz w:val="24"/>
          <w:szCs w:val="24"/>
          <w:lang w:eastAsia="es-ES_tradnl"/>
        </w:rPr>
        <w:t>, 070, 077,617.00</w:t>
      </w:r>
      <w:r w:rsidR="008863C4">
        <w:rPr>
          <w:sz w:val="24"/>
          <w:szCs w:val="24"/>
          <w:lang w:eastAsia="es-ES_tradnl"/>
        </w:rPr>
        <w:t xml:space="preserve"> (seis mil setenta millones, setenta y siete mil seiscientos diecisiete pesos con </w:t>
      </w:r>
      <w:r w:rsidR="0088740A">
        <w:rPr>
          <w:sz w:val="24"/>
          <w:szCs w:val="24"/>
          <w:lang w:eastAsia="es-ES_tradnl"/>
        </w:rPr>
        <w:t>00</w:t>
      </w:r>
      <w:r w:rsidR="008863C4">
        <w:rPr>
          <w:sz w:val="24"/>
          <w:szCs w:val="24"/>
          <w:lang w:eastAsia="es-ES_tradnl"/>
        </w:rPr>
        <w:t>/100)</w:t>
      </w:r>
      <w:r>
        <w:rPr>
          <w:sz w:val="26"/>
          <w:szCs w:val="26"/>
          <w:lang w:eastAsia="es-ES_tradnl"/>
        </w:rPr>
        <w:t xml:space="preserve">          </w:t>
      </w:r>
    </w:p>
    <w:p w:rsidR="00A3356E" w:rsidRDefault="00A3356E" w:rsidP="00A3356E">
      <w:pPr>
        <w:spacing w:line="360" w:lineRule="auto"/>
        <w:jc w:val="both"/>
        <w:rPr>
          <w:sz w:val="26"/>
          <w:szCs w:val="26"/>
          <w:lang w:eastAsia="es-ES_tradnl"/>
        </w:rPr>
      </w:pPr>
      <w:r>
        <w:rPr>
          <w:sz w:val="26"/>
          <w:szCs w:val="26"/>
          <w:lang w:eastAsia="es-ES_tradnl"/>
        </w:rPr>
        <w:t xml:space="preserve">          </w:t>
      </w:r>
    </w:p>
    <w:p w:rsidR="007E2CE9" w:rsidRDefault="00A3356E" w:rsidP="00C4768A">
      <w:pPr>
        <w:spacing w:line="360" w:lineRule="auto"/>
        <w:jc w:val="both"/>
        <w:rPr>
          <w:b/>
          <w:sz w:val="24"/>
          <w:szCs w:val="24"/>
          <w:lang w:eastAsia="es-ES_tradnl"/>
        </w:rPr>
      </w:pPr>
      <w:r w:rsidRPr="00597D43">
        <w:rPr>
          <w:sz w:val="24"/>
          <w:szCs w:val="24"/>
          <w:lang w:eastAsia="es-ES_tradnl"/>
        </w:rPr>
        <w:t xml:space="preserve">Según el ramo, las primas netas cobradas en lo referente a vida individual alcanzaron un total de </w:t>
      </w:r>
      <w:r w:rsidRPr="00597D43">
        <w:rPr>
          <w:b/>
          <w:sz w:val="24"/>
          <w:szCs w:val="24"/>
          <w:lang w:eastAsia="es-ES_tradnl"/>
        </w:rPr>
        <w:t>RD$</w:t>
      </w:r>
      <w:r w:rsidR="004367D5">
        <w:rPr>
          <w:b/>
          <w:sz w:val="24"/>
          <w:szCs w:val="24"/>
          <w:lang w:eastAsia="es-ES_tradnl"/>
        </w:rPr>
        <w:t>207,174,171.00</w:t>
      </w:r>
      <w:r w:rsidR="0088740A">
        <w:rPr>
          <w:b/>
          <w:sz w:val="24"/>
          <w:szCs w:val="24"/>
          <w:lang w:eastAsia="es-ES_tradnl"/>
        </w:rPr>
        <w:t xml:space="preserve"> </w:t>
      </w:r>
      <w:r w:rsidR="00426DAF">
        <w:rPr>
          <w:b/>
          <w:sz w:val="24"/>
          <w:szCs w:val="24"/>
          <w:lang w:eastAsia="es-ES_tradnl"/>
        </w:rPr>
        <w:t>(doscientos</w:t>
      </w:r>
      <w:r w:rsidR="008863C4">
        <w:rPr>
          <w:b/>
          <w:sz w:val="24"/>
          <w:szCs w:val="24"/>
          <w:lang w:eastAsia="es-ES_tradnl"/>
        </w:rPr>
        <w:t xml:space="preserve"> siete millones, ciento setenta y cuatro mil</w:t>
      </w:r>
      <w:r w:rsidR="00CB75AA">
        <w:rPr>
          <w:b/>
          <w:sz w:val="24"/>
          <w:szCs w:val="24"/>
          <w:lang w:eastAsia="es-ES_tradnl"/>
        </w:rPr>
        <w:t xml:space="preserve"> ciento setenta y </w:t>
      </w:r>
      <w:r w:rsidR="00876A23">
        <w:rPr>
          <w:b/>
          <w:sz w:val="24"/>
          <w:szCs w:val="24"/>
          <w:lang w:eastAsia="es-ES_tradnl"/>
        </w:rPr>
        <w:t>un pesos</w:t>
      </w:r>
      <w:r w:rsidR="00CB75AA">
        <w:rPr>
          <w:b/>
          <w:sz w:val="24"/>
          <w:szCs w:val="24"/>
          <w:lang w:eastAsia="es-ES_tradnl"/>
        </w:rPr>
        <w:t xml:space="preserve"> con 00/100)</w:t>
      </w:r>
      <w:r w:rsidR="00673829">
        <w:rPr>
          <w:b/>
          <w:sz w:val="24"/>
          <w:szCs w:val="24"/>
          <w:lang w:eastAsia="es-ES_tradnl"/>
        </w:rPr>
        <w:t xml:space="preserve"> lo que representa</w:t>
      </w:r>
      <w:r w:rsidR="00CB75AA">
        <w:rPr>
          <w:b/>
          <w:sz w:val="24"/>
          <w:szCs w:val="24"/>
          <w:lang w:eastAsia="es-ES_tradnl"/>
        </w:rPr>
        <w:t xml:space="preserve"> un</w:t>
      </w:r>
      <w:r w:rsidR="0088740A">
        <w:rPr>
          <w:b/>
          <w:sz w:val="24"/>
          <w:szCs w:val="24"/>
          <w:lang w:eastAsia="es-ES_tradnl"/>
        </w:rPr>
        <w:t xml:space="preserve"> aumento de RD$46,997,342.00 (</w:t>
      </w:r>
      <w:r w:rsidR="00CB75AA">
        <w:rPr>
          <w:b/>
          <w:sz w:val="24"/>
          <w:szCs w:val="24"/>
          <w:lang w:eastAsia="es-ES_tradnl"/>
        </w:rPr>
        <w:t>cuarenta</w:t>
      </w:r>
      <w:r w:rsidR="00426DAF">
        <w:rPr>
          <w:b/>
          <w:sz w:val="24"/>
          <w:szCs w:val="24"/>
          <w:lang w:eastAsia="es-ES_tradnl"/>
        </w:rPr>
        <w:t xml:space="preserve"> y </w:t>
      </w:r>
      <w:r w:rsidR="00876A23">
        <w:rPr>
          <w:b/>
          <w:sz w:val="24"/>
          <w:szCs w:val="24"/>
          <w:lang w:eastAsia="es-ES_tradnl"/>
        </w:rPr>
        <w:t>seis millones</w:t>
      </w:r>
      <w:r w:rsidR="001B0B4E">
        <w:rPr>
          <w:b/>
          <w:sz w:val="24"/>
          <w:szCs w:val="24"/>
          <w:lang w:eastAsia="es-ES_tradnl"/>
        </w:rPr>
        <w:t xml:space="preserve"> </w:t>
      </w:r>
      <w:r w:rsidR="007F22FB">
        <w:rPr>
          <w:b/>
          <w:sz w:val="24"/>
          <w:szCs w:val="24"/>
          <w:lang w:eastAsia="es-ES_tradnl"/>
        </w:rPr>
        <w:t xml:space="preserve">novecientos noventa y siete mil, trescientos cuarenta y dos pesos con 00/100) </w:t>
      </w:r>
    </w:p>
    <w:p w:rsidR="00C4768A" w:rsidRDefault="00C4768A" w:rsidP="00C4768A">
      <w:pPr>
        <w:spacing w:line="360" w:lineRule="auto"/>
        <w:jc w:val="both"/>
        <w:rPr>
          <w:b/>
          <w:sz w:val="24"/>
          <w:szCs w:val="24"/>
          <w:lang w:eastAsia="es-ES_tradnl"/>
        </w:rPr>
      </w:pPr>
    </w:p>
    <w:p w:rsidR="00C4768A" w:rsidRDefault="00C4768A" w:rsidP="00C4768A">
      <w:pPr>
        <w:spacing w:line="360" w:lineRule="auto"/>
        <w:jc w:val="both"/>
        <w:rPr>
          <w:b/>
          <w:sz w:val="24"/>
          <w:szCs w:val="24"/>
          <w:lang w:eastAsia="es-ES_tradnl"/>
        </w:rPr>
      </w:pPr>
    </w:p>
    <w:tbl>
      <w:tblPr>
        <w:tblpPr w:leftFromText="141" w:rightFromText="141" w:vertAnchor="page" w:horzAnchor="margin" w:tblpY="9136"/>
        <w:tblOverlap w:val="never"/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760"/>
        <w:gridCol w:w="2280"/>
        <w:gridCol w:w="2320"/>
      </w:tblGrid>
      <w:tr w:rsidR="00C4768A" w:rsidRPr="00DA3940" w:rsidTr="00C4768A">
        <w:trPr>
          <w:trHeight w:val="31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68A" w:rsidRDefault="00C4768A" w:rsidP="00C4768A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C4768A" w:rsidRDefault="00C4768A" w:rsidP="00C4768A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C4768A" w:rsidRDefault="00C4768A" w:rsidP="00C4768A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C4768A" w:rsidRDefault="00C4768A" w:rsidP="00C4768A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C4768A" w:rsidRPr="00DA3940" w:rsidRDefault="00C4768A" w:rsidP="00C4768A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DA3940">
              <w:rPr>
                <w:b/>
                <w:bCs/>
                <w:color w:val="000000"/>
                <w:sz w:val="24"/>
                <w:szCs w:val="24"/>
                <w:lang w:val="es-ES"/>
              </w:rPr>
              <w:t>PRIMAS NETAS Y EXONERADAS</w:t>
            </w:r>
          </w:p>
        </w:tc>
      </w:tr>
      <w:tr w:rsidR="00C4768A" w:rsidRPr="00DA3940" w:rsidTr="00C4768A">
        <w:trPr>
          <w:trHeight w:val="315"/>
        </w:trPr>
        <w:tc>
          <w:tcPr>
            <w:tcW w:w="8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DA3940">
              <w:rPr>
                <w:b/>
                <w:bCs/>
                <w:color w:val="000000"/>
                <w:sz w:val="24"/>
                <w:szCs w:val="24"/>
                <w:lang w:val="es-ES"/>
              </w:rPr>
              <w:t>Cuadro No.1</w:t>
            </w:r>
          </w:p>
        </w:tc>
      </w:tr>
      <w:tr w:rsidR="00C4768A" w:rsidRPr="00DA3940" w:rsidTr="00C4768A">
        <w:trPr>
          <w:trHeight w:val="103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4768A" w:rsidRPr="00DA3940" w:rsidRDefault="00C4768A" w:rsidP="00C4768A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DA3940">
              <w:rPr>
                <w:b/>
                <w:bCs/>
                <w:color w:val="000000"/>
                <w:sz w:val="24"/>
                <w:szCs w:val="24"/>
                <w:lang w:val="es-ES"/>
              </w:rPr>
              <w:t>MESES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4768A" w:rsidRPr="00DA3940" w:rsidRDefault="00C4768A" w:rsidP="00C4768A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DA3940">
              <w:rPr>
                <w:b/>
                <w:bCs/>
                <w:color w:val="000000"/>
                <w:sz w:val="24"/>
                <w:szCs w:val="24"/>
                <w:lang w:val="es-ES"/>
              </w:rPr>
              <w:t>PRIMAS NETAS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4768A" w:rsidRPr="00DA3940" w:rsidRDefault="00C4768A" w:rsidP="00C4768A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DA3940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PRIMAS EXONERADAS 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4768A" w:rsidRPr="00DA3940" w:rsidRDefault="00C4768A" w:rsidP="00C4768A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DA3940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TOTALES PRIMAS NETAS Y EXONERADAS </w:t>
            </w:r>
          </w:p>
        </w:tc>
      </w:tr>
      <w:tr w:rsidR="00C4768A" w:rsidRPr="00DA3940" w:rsidTr="00C4768A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8A" w:rsidRPr="00DA3940" w:rsidRDefault="00C4768A" w:rsidP="00C4768A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8A" w:rsidRPr="00DA3940" w:rsidRDefault="00C4768A" w:rsidP="00C4768A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8A" w:rsidRPr="00DA3940" w:rsidRDefault="00C4768A" w:rsidP="00C4768A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8A" w:rsidRPr="00DA3940" w:rsidRDefault="00C4768A" w:rsidP="00C4768A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</w:tr>
      <w:tr w:rsidR="00C4768A" w:rsidRPr="00DA3940" w:rsidTr="00C476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Enero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                      3,330,865,396.00             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           1,110,288,465.00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4,441.153,861.00             </w:t>
            </w:r>
          </w:p>
        </w:tc>
      </w:tr>
      <w:tr w:rsidR="00C4768A" w:rsidRPr="00DA3940" w:rsidTr="00C476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Febrero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                     3,148,765,207.00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           1.049588,402.00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4,198.353.609.00            </w:t>
            </w:r>
          </w:p>
        </w:tc>
      </w:tr>
      <w:tr w:rsidR="00C4768A" w:rsidRPr="00DA3940" w:rsidTr="00C476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Marzo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                     3.799,018,345.00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           1,266,339,448.00  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5,065,357,793.00              </w:t>
            </w:r>
          </w:p>
        </w:tc>
      </w:tr>
      <w:tr w:rsidR="00C4768A" w:rsidRPr="00DA3940" w:rsidTr="00C476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Abril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                     3,517,073,786,00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           1,172,357,929.00  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4,689,431,714.00         </w:t>
            </w:r>
          </w:p>
        </w:tc>
      </w:tr>
      <w:tr w:rsidR="00C4768A" w:rsidRPr="00DA3940" w:rsidTr="00C476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Mayo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                     3,764.263.848.00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           1,254,754,616.00 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5,019,018,463.00   </w:t>
            </w:r>
          </w:p>
        </w:tc>
      </w:tr>
      <w:tr w:rsidR="00C4768A" w:rsidRPr="00DA3940" w:rsidTr="00C476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Junio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                     3,705,879,301.00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           1,235,293,100.00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4,941,172.402.00 </w:t>
            </w:r>
          </w:p>
        </w:tc>
      </w:tr>
      <w:tr w:rsidR="00C4768A" w:rsidRPr="00DA3940" w:rsidTr="00C476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Julio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                     3,783,842,575.00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           1,261,280,858.00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5,045,123,434.00</w:t>
            </w:r>
          </w:p>
        </w:tc>
      </w:tr>
      <w:tr w:rsidR="00C4768A" w:rsidRPr="00DA3940" w:rsidTr="00C476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Agosto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                     3.881,874.699.99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           1,293,958,233.00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5,175,832,932.00</w:t>
            </w:r>
          </w:p>
        </w:tc>
      </w:tr>
      <w:tr w:rsidR="00C4768A" w:rsidRPr="00DA3940" w:rsidTr="00C476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Septiembre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                     3,308,487,542.00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           1,102,829,181.00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4,411,316,722.00         </w:t>
            </w:r>
          </w:p>
        </w:tc>
      </w:tr>
      <w:tr w:rsidR="00C4768A" w:rsidRPr="00DA3940" w:rsidTr="00C476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Octubre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                     3,112.982,744.00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           1,037,660.915.00  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4,150,643,658.00          </w:t>
            </w:r>
          </w:p>
        </w:tc>
      </w:tr>
      <w:tr w:rsidR="00C4768A" w:rsidRPr="00DA3940" w:rsidTr="00C476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Noviembre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                     3,176,515,398.00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           1,058,838,466.00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4,235,353,864.00</w:t>
            </w:r>
          </w:p>
        </w:tc>
      </w:tr>
      <w:tr w:rsidR="00C4768A" w:rsidRPr="00DA3940" w:rsidTr="00C476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Diciembre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                    3,665,839,129.00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           1,221,946,376.00 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4,487,788,505.00</w:t>
            </w:r>
          </w:p>
        </w:tc>
      </w:tr>
      <w:tr w:rsidR="00C4768A" w:rsidRPr="00E52CF2" w:rsidTr="00C4768A">
        <w:trPr>
          <w:trHeight w:val="69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Totales RD$       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                        42,195,407,968.00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4768A" w:rsidRPr="00DA3940" w:rsidRDefault="00C4768A" w:rsidP="00C476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                14,065,135,989.00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4768A" w:rsidRPr="00E52CF2" w:rsidRDefault="00C4768A" w:rsidP="00C476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A39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     56,260,543,957.00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</w:t>
            </w:r>
          </w:p>
        </w:tc>
      </w:tr>
    </w:tbl>
    <w:p w:rsidR="00C4768A" w:rsidRPr="00DA3940" w:rsidRDefault="00C4768A" w:rsidP="00C4768A">
      <w:pPr>
        <w:spacing w:line="360" w:lineRule="auto"/>
        <w:jc w:val="both"/>
        <w:rPr>
          <w:b/>
          <w:sz w:val="24"/>
          <w:szCs w:val="24"/>
          <w:lang w:eastAsia="es-ES_tradnl"/>
        </w:rPr>
      </w:pPr>
    </w:p>
    <w:p w:rsidR="00C4768A" w:rsidRDefault="00C4768A" w:rsidP="00C4768A">
      <w:pPr>
        <w:spacing w:line="360" w:lineRule="auto"/>
        <w:jc w:val="both"/>
        <w:rPr>
          <w:b/>
          <w:sz w:val="24"/>
          <w:szCs w:val="24"/>
          <w:lang w:eastAsia="es-ES_tradnl"/>
        </w:rPr>
      </w:pPr>
    </w:p>
    <w:p w:rsidR="00C4768A" w:rsidRDefault="00C4768A" w:rsidP="00C4768A">
      <w:pPr>
        <w:spacing w:line="360" w:lineRule="auto"/>
        <w:jc w:val="both"/>
        <w:rPr>
          <w:b/>
          <w:sz w:val="24"/>
          <w:szCs w:val="24"/>
          <w:lang w:eastAsia="es-ES_tradnl"/>
        </w:rPr>
      </w:pPr>
    </w:p>
    <w:p w:rsidR="00C4768A" w:rsidRPr="00C4768A" w:rsidRDefault="00C4768A" w:rsidP="00C4768A">
      <w:pPr>
        <w:spacing w:line="360" w:lineRule="auto"/>
        <w:jc w:val="both"/>
        <w:rPr>
          <w:b/>
          <w:sz w:val="24"/>
          <w:szCs w:val="24"/>
          <w:lang w:eastAsia="es-ES_tradnl"/>
        </w:rPr>
      </w:pPr>
    </w:p>
    <w:p w:rsidR="007E2CE9" w:rsidRDefault="007E2CE9" w:rsidP="00A3356E">
      <w:pPr>
        <w:jc w:val="both"/>
        <w:rPr>
          <w:sz w:val="24"/>
          <w:szCs w:val="24"/>
          <w:lang w:val="es-ES"/>
        </w:rPr>
      </w:pPr>
    </w:p>
    <w:p w:rsidR="007E2CE9" w:rsidRDefault="007E2CE9" w:rsidP="00A3356E">
      <w:pPr>
        <w:jc w:val="both"/>
        <w:rPr>
          <w:sz w:val="24"/>
          <w:szCs w:val="24"/>
          <w:lang w:val="es-ES"/>
        </w:rPr>
      </w:pPr>
    </w:p>
    <w:p w:rsidR="007E2CE9" w:rsidRDefault="007E2CE9" w:rsidP="00A3356E">
      <w:pPr>
        <w:jc w:val="both"/>
        <w:rPr>
          <w:sz w:val="24"/>
          <w:szCs w:val="24"/>
          <w:lang w:val="es-ES"/>
        </w:rPr>
      </w:pPr>
    </w:p>
    <w:p w:rsidR="007E2CE9" w:rsidRDefault="007E2CE9" w:rsidP="00A3356E">
      <w:pPr>
        <w:jc w:val="both"/>
        <w:rPr>
          <w:sz w:val="24"/>
          <w:szCs w:val="24"/>
          <w:lang w:val="es-ES"/>
        </w:rPr>
      </w:pPr>
    </w:p>
    <w:p w:rsidR="007E2CE9" w:rsidRDefault="007E2CE9" w:rsidP="00A3356E">
      <w:pPr>
        <w:jc w:val="both"/>
        <w:rPr>
          <w:sz w:val="24"/>
          <w:szCs w:val="24"/>
          <w:lang w:val="es-ES"/>
        </w:rPr>
      </w:pPr>
    </w:p>
    <w:p w:rsidR="007E2CE9" w:rsidRDefault="007E2CE9" w:rsidP="00A3356E">
      <w:pPr>
        <w:jc w:val="both"/>
        <w:rPr>
          <w:sz w:val="24"/>
          <w:szCs w:val="24"/>
          <w:lang w:val="es-ES"/>
        </w:rPr>
      </w:pPr>
    </w:p>
    <w:p w:rsidR="007E2CE9" w:rsidRDefault="007E2CE9" w:rsidP="00A3356E">
      <w:pPr>
        <w:jc w:val="both"/>
        <w:rPr>
          <w:sz w:val="24"/>
          <w:szCs w:val="24"/>
          <w:lang w:val="es-ES"/>
        </w:rPr>
      </w:pPr>
    </w:p>
    <w:p w:rsidR="007E2CE9" w:rsidRDefault="007E2CE9" w:rsidP="00A3356E">
      <w:pPr>
        <w:jc w:val="both"/>
        <w:rPr>
          <w:sz w:val="24"/>
          <w:szCs w:val="24"/>
          <w:lang w:val="es-ES"/>
        </w:rPr>
      </w:pPr>
    </w:p>
    <w:p w:rsidR="007E2CE9" w:rsidRDefault="007E2CE9" w:rsidP="00A3356E">
      <w:pPr>
        <w:jc w:val="both"/>
        <w:rPr>
          <w:sz w:val="24"/>
          <w:szCs w:val="24"/>
          <w:lang w:val="es-ES"/>
        </w:rPr>
      </w:pPr>
    </w:p>
    <w:p w:rsidR="007E2CE9" w:rsidRDefault="007E2CE9" w:rsidP="00A3356E">
      <w:pPr>
        <w:jc w:val="both"/>
        <w:rPr>
          <w:sz w:val="24"/>
          <w:szCs w:val="24"/>
          <w:lang w:val="es-ES"/>
        </w:rPr>
      </w:pPr>
    </w:p>
    <w:p w:rsidR="007E2CE9" w:rsidRDefault="007E2CE9" w:rsidP="00A3356E">
      <w:pPr>
        <w:jc w:val="both"/>
        <w:rPr>
          <w:sz w:val="24"/>
          <w:szCs w:val="24"/>
          <w:lang w:val="es-ES"/>
        </w:rPr>
      </w:pPr>
    </w:p>
    <w:p w:rsidR="0061321A" w:rsidRDefault="0061321A" w:rsidP="00A3356E">
      <w:pPr>
        <w:jc w:val="both"/>
        <w:rPr>
          <w:sz w:val="24"/>
          <w:szCs w:val="24"/>
          <w:lang w:val="es-ES"/>
        </w:rPr>
      </w:pPr>
    </w:p>
    <w:p w:rsidR="00201786" w:rsidRDefault="00201786" w:rsidP="00A3356E">
      <w:pPr>
        <w:jc w:val="both"/>
        <w:rPr>
          <w:sz w:val="24"/>
          <w:szCs w:val="24"/>
          <w:lang w:val="es-ES"/>
        </w:rPr>
      </w:pPr>
    </w:p>
    <w:p w:rsidR="00C4768A" w:rsidRDefault="00C4768A" w:rsidP="00A3356E">
      <w:pPr>
        <w:jc w:val="both"/>
        <w:rPr>
          <w:sz w:val="24"/>
          <w:szCs w:val="24"/>
          <w:lang w:val="es-ES"/>
        </w:rPr>
      </w:pPr>
    </w:p>
    <w:p w:rsidR="00C4768A" w:rsidRDefault="00C4768A" w:rsidP="00A3356E">
      <w:pPr>
        <w:jc w:val="both"/>
        <w:rPr>
          <w:sz w:val="24"/>
          <w:szCs w:val="24"/>
          <w:lang w:val="es-ES"/>
        </w:rPr>
      </w:pPr>
    </w:p>
    <w:p w:rsidR="00C4768A" w:rsidRDefault="00C4768A" w:rsidP="00A3356E">
      <w:pPr>
        <w:jc w:val="both"/>
        <w:rPr>
          <w:sz w:val="24"/>
          <w:szCs w:val="24"/>
          <w:lang w:val="es-ES"/>
        </w:rPr>
      </w:pPr>
    </w:p>
    <w:p w:rsidR="00C4768A" w:rsidRDefault="00C4768A" w:rsidP="00A3356E">
      <w:pPr>
        <w:jc w:val="both"/>
        <w:rPr>
          <w:sz w:val="24"/>
          <w:szCs w:val="24"/>
          <w:lang w:val="es-ES"/>
        </w:rPr>
      </w:pPr>
    </w:p>
    <w:p w:rsidR="00C4768A" w:rsidRDefault="00C4768A" w:rsidP="00A3356E">
      <w:pPr>
        <w:jc w:val="both"/>
        <w:rPr>
          <w:sz w:val="24"/>
          <w:szCs w:val="24"/>
          <w:lang w:val="es-ES"/>
        </w:rPr>
      </w:pPr>
    </w:p>
    <w:p w:rsidR="00C4768A" w:rsidRDefault="00C4768A" w:rsidP="00A3356E">
      <w:pPr>
        <w:jc w:val="both"/>
        <w:rPr>
          <w:sz w:val="24"/>
          <w:szCs w:val="24"/>
          <w:lang w:val="es-ES"/>
        </w:rPr>
      </w:pPr>
    </w:p>
    <w:p w:rsidR="007F22FB" w:rsidRDefault="007F22FB" w:rsidP="00BD76A5">
      <w:pPr>
        <w:spacing w:line="360" w:lineRule="auto"/>
        <w:jc w:val="both"/>
        <w:rPr>
          <w:sz w:val="24"/>
          <w:szCs w:val="24"/>
          <w:lang w:val="es-ES"/>
        </w:rPr>
      </w:pPr>
    </w:p>
    <w:p w:rsidR="00C4768A" w:rsidRDefault="00C4768A" w:rsidP="00BD76A5">
      <w:pPr>
        <w:spacing w:line="360" w:lineRule="auto"/>
        <w:jc w:val="both"/>
        <w:rPr>
          <w:sz w:val="24"/>
          <w:szCs w:val="24"/>
          <w:lang w:val="es-ES"/>
        </w:rPr>
      </w:pPr>
    </w:p>
    <w:p w:rsidR="00C4768A" w:rsidRDefault="00C4768A" w:rsidP="00BD76A5">
      <w:pPr>
        <w:spacing w:line="360" w:lineRule="auto"/>
        <w:jc w:val="both"/>
        <w:rPr>
          <w:sz w:val="24"/>
          <w:szCs w:val="24"/>
          <w:lang w:val="es-ES"/>
        </w:rPr>
      </w:pPr>
    </w:p>
    <w:p w:rsidR="00C4768A" w:rsidRDefault="00C4768A" w:rsidP="00BD76A5">
      <w:pPr>
        <w:spacing w:line="360" w:lineRule="auto"/>
        <w:jc w:val="both"/>
        <w:rPr>
          <w:sz w:val="24"/>
          <w:szCs w:val="24"/>
          <w:lang w:val="es-ES"/>
        </w:rPr>
      </w:pPr>
    </w:p>
    <w:p w:rsidR="00C4768A" w:rsidRDefault="00C4768A" w:rsidP="00BD76A5">
      <w:pPr>
        <w:spacing w:line="360" w:lineRule="auto"/>
        <w:jc w:val="both"/>
        <w:rPr>
          <w:sz w:val="24"/>
          <w:szCs w:val="24"/>
          <w:lang w:val="es-ES"/>
        </w:rPr>
      </w:pPr>
    </w:p>
    <w:p w:rsidR="00A71507" w:rsidRDefault="00A71507" w:rsidP="00BD76A5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 xml:space="preserve">En cuanto al posicionamiento en el mercado </w:t>
      </w:r>
      <w:r w:rsidR="00C4768A">
        <w:rPr>
          <w:sz w:val="24"/>
          <w:szCs w:val="24"/>
          <w:lang w:val="es-ES"/>
        </w:rPr>
        <w:t>asegurador,</w:t>
      </w:r>
      <w:r>
        <w:rPr>
          <w:sz w:val="24"/>
          <w:szCs w:val="24"/>
          <w:lang w:val="es-ES"/>
        </w:rPr>
        <w:t xml:space="preserve"> se </w:t>
      </w:r>
      <w:r w:rsidR="00876A23">
        <w:rPr>
          <w:sz w:val="24"/>
          <w:szCs w:val="24"/>
          <w:lang w:val="es-ES"/>
        </w:rPr>
        <w:t>presentó</w:t>
      </w:r>
      <w:r>
        <w:rPr>
          <w:sz w:val="24"/>
          <w:szCs w:val="24"/>
          <w:lang w:val="es-ES"/>
        </w:rPr>
        <w:t xml:space="preserve"> el siguiente orden:</w:t>
      </w:r>
    </w:p>
    <w:p w:rsidR="00A71507" w:rsidRDefault="00C4768A" w:rsidP="00BD76A5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Seguros U</w:t>
      </w:r>
      <w:r w:rsidR="00A71507">
        <w:rPr>
          <w:sz w:val="24"/>
          <w:szCs w:val="24"/>
          <w:lang w:val="es-ES"/>
        </w:rPr>
        <w:t>niversal</w:t>
      </w:r>
      <w:r>
        <w:rPr>
          <w:sz w:val="24"/>
          <w:szCs w:val="24"/>
          <w:lang w:val="es-ES"/>
        </w:rPr>
        <w:t xml:space="preserve"> S</w:t>
      </w:r>
      <w:r w:rsidR="004367D5">
        <w:rPr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>A</w:t>
      </w:r>
      <w:r w:rsidR="004367D5">
        <w:rPr>
          <w:sz w:val="24"/>
          <w:szCs w:val="24"/>
          <w:lang w:val="es-ES"/>
        </w:rPr>
        <w:t>., Humanos Seguros</w:t>
      </w:r>
      <w:r w:rsidR="00426DAF">
        <w:rPr>
          <w:sz w:val="24"/>
          <w:szCs w:val="24"/>
          <w:lang w:val="es-ES"/>
        </w:rPr>
        <w:t>, S.A</w:t>
      </w:r>
      <w:r w:rsidR="004367D5">
        <w:rPr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>,</w:t>
      </w:r>
      <w:r w:rsidR="007F22FB">
        <w:rPr>
          <w:sz w:val="24"/>
          <w:szCs w:val="24"/>
          <w:lang w:val="es-ES"/>
        </w:rPr>
        <w:t xml:space="preserve"> Seguros </w:t>
      </w:r>
      <w:r>
        <w:rPr>
          <w:sz w:val="24"/>
          <w:szCs w:val="24"/>
          <w:lang w:val="es-ES"/>
        </w:rPr>
        <w:t>R</w:t>
      </w:r>
      <w:r w:rsidR="007F22FB">
        <w:rPr>
          <w:sz w:val="24"/>
          <w:szCs w:val="24"/>
          <w:lang w:val="es-ES"/>
        </w:rPr>
        <w:t>eservas</w:t>
      </w:r>
      <w:r w:rsidR="00426DAF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S.A</w:t>
      </w:r>
      <w:r w:rsidR="007F22FB">
        <w:rPr>
          <w:sz w:val="24"/>
          <w:szCs w:val="24"/>
          <w:lang w:val="es-ES"/>
        </w:rPr>
        <w:t xml:space="preserve">., Mapfre BHD </w:t>
      </w:r>
      <w:r w:rsidR="00DA3940">
        <w:rPr>
          <w:sz w:val="24"/>
          <w:szCs w:val="24"/>
          <w:lang w:val="es-ES"/>
        </w:rPr>
        <w:t>Cía.</w:t>
      </w:r>
      <w:r w:rsidR="007F22FB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d</w:t>
      </w:r>
      <w:r w:rsidR="00426DAF">
        <w:rPr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 xml:space="preserve"> S</w:t>
      </w:r>
      <w:r w:rsidR="007F22FB">
        <w:rPr>
          <w:sz w:val="24"/>
          <w:szCs w:val="24"/>
          <w:lang w:val="es-ES"/>
        </w:rPr>
        <w:t>eguros</w:t>
      </w:r>
      <w:r>
        <w:rPr>
          <w:sz w:val="24"/>
          <w:szCs w:val="24"/>
          <w:lang w:val="es-ES"/>
        </w:rPr>
        <w:t>, S</w:t>
      </w:r>
      <w:r w:rsidR="00426DAF">
        <w:rPr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>A., La C</w:t>
      </w:r>
      <w:r w:rsidR="0029323D">
        <w:rPr>
          <w:sz w:val="24"/>
          <w:szCs w:val="24"/>
          <w:lang w:val="es-ES"/>
        </w:rPr>
        <w:t xml:space="preserve">olonial de </w:t>
      </w:r>
      <w:r>
        <w:rPr>
          <w:sz w:val="24"/>
          <w:szCs w:val="24"/>
          <w:lang w:val="es-ES"/>
        </w:rPr>
        <w:t>S</w:t>
      </w:r>
      <w:r w:rsidR="0029323D">
        <w:rPr>
          <w:sz w:val="24"/>
          <w:szCs w:val="24"/>
          <w:lang w:val="es-ES"/>
        </w:rPr>
        <w:t>eguros</w:t>
      </w:r>
      <w:r w:rsidR="00426DAF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S.A</w:t>
      </w:r>
      <w:r w:rsidR="0029323D">
        <w:rPr>
          <w:sz w:val="24"/>
          <w:szCs w:val="24"/>
          <w:lang w:val="es-ES"/>
        </w:rPr>
        <w:t>., Seguros Sura</w:t>
      </w:r>
      <w:r w:rsidR="00426DAF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S.A.</w:t>
      </w:r>
    </w:p>
    <w:p w:rsidR="00DE350D" w:rsidRDefault="00DE350D" w:rsidP="00BD76A5">
      <w:pPr>
        <w:spacing w:line="360" w:lineRule="auto"/>
        <w:jc w:val="both"/>
        <w:rPr>
          <w:sz w:val="24"/>
          <w:szCs w:val="24"/>
          <w:lang w:val="es-ES"/>
        </w:rPr>
      </w:pPr>
    </w:p>
    <w:p w:rsidR="00DE350D" w:rsidRPr="00E10B66" w:rsidRDefault="000B5925" w:rsidP="00BD76A5">
      <w:pPr>
        <w:spacing w:line="360" w:lineRule="auto"/>
        <w:jc w:val="both"/>
        <w:rPr>
          <w:lang w:val="es-ES"/>
        </w:rPr>
      </w:pPr>
      <w:r>
        <w:rPr>
          <w:sz w:val="24"/>
          <w:szCs w:val="24"/>
          <w:lang w:val="es-ES"/>
        </w:rPr>
        <w:t>Por impuestos liquidados en</w:t>
      </w:r>
      <w:r w:rsidR="00875EA7">
        <w:rPr>
          <w:sz w:val="24"/>
          <w:szCs w:val="24"/>
          <w:lang w:val="es-ES"/>
        </w:rPr>
        <w:t xml:space="preserve"> el periodo enero-diciembre 2018</w:t>
      </w:r>
      <w:r w:rsidR="00DE350D">
        <w:rPr>
          <w:sz w:val="24"/>
          <w:szCs w:val="24"/>
          <w:lang w:val="es-ES"/>
        </w:rPr>
        <w:t xml:space="preserve">, se </w:t>
      </w:r>
      <w:r w:rsidR="00876A23">
        <w:rPr>
          <w:sz w:val="24"/>
          <w:szCs w:val="24"/>
          <w:lang w:val="es-ES"/>
        </w:rPr>
        <w:t>procesó</w:t>
      </w:r>
      <w:r w:rsidR="00DE350D">
        <w:rPr>
          <w:sz w:val="24"/>
          <w:szCs w:val="24"/>
          <w:lang w:val="es-ES"/>
        </w:rPr>
        <w:t xml:space="preserve"> un total de  trescie</w:t>
      </w:r>
      <w:r>
        <w:rPr>
          <w:sz w:val="24"/>
          <w:szCs w:val="24"/>
          <w:lang w:val="es-ES"/>
        </w:rPr>
        <w:t>ntos veinte liquidaciones</w:t>
      </w:r>
      <w:r w:rsidR="00C4768A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(320</w:t>
      </w:r>
      <w:r w:rsidR="00DE350D">
        <w:rPr>
          <w:sz w:val="24"/>
          <w:szCs w:val="24"/>
          <w:lang w:val="es-ES"/>
        </w:rPr>
        <w:t>) de impuestos sobre primas netas cobradas por un monto de RD$</w:t>
      </w:r>
      <w:r w:rsidR="00151DAE">
        <w:rPr>
          <w:sz w:val="24"/>
          <w:szCs w:val="24"/>
          <w:lang w:val="es-ES"/>
        </w:rPr>
        <w:t>6</w:t>
      </w:r>
      <w:r>
        <w:rPr>
          <w:sz w:val="24"/>
          <w:szCs w:val="24"/>
          <w:lang w:val="es-ES"/>
        </w:rPr>
        <w:t>,7</w:t>
      </w:r>
      <w:r w:rsidR="00151DAE">
        <w:rPr>
          <w:sz w:val="24"/>
          <w:szCs w:val="24"/>
          <w:lang w:val="es-ES"/>
        </w:rPr>
        <w:t>51</w:t>
      </w:r>
      <w:r>
        <w:rPr>
          <w:sz w:val="24"/>
          <w:szCs w:val="24"/>
          <w:lang w:val="es-ES"/>
        </w:rPr>
        <w:t>,</w:t>
      </w:r>
      <w:r w:rsidR="00151DAE">
        <w:rPr>
          <w:sz w:val="24"/>
          <w:szCs w:val="24"/>
          <w:lang w:val="es-ES"/>
        </w:rPr>
        <w:t>265</w:t>
      </w:r>
      <w:r>
        <w:rPr>
          <w:sz w:val="24"/>
          <w:szCs w:val="24"/>
          <w:lang w:val="es-ES"/>
        </w:rPr>
        <w:t>,</w:t>
      </w:r>
      <w:r w:rsidR="00151DAE">
        <w:rPr>
          <w:sz w:val="24"/>
          <w:szCs w:val="24"/>
          <w:lang w:val="es-ES"/>
        </w:rPr>
        <w:t>274</w:t>
      </w:r>
      <w:r>
        <w:rPr>
          <w:sz w:val="24"/>
          <w:szCs w:val="24"/>
          <w:lang w:val="es-ES"/>
        </w:rPr>
        <w:t>.8</w:t>
      </w:r>
      <w:r w:rsidR="00151DAE">
        <w:rPr>
          <w:sz w:val="24"/>
          <w:szCs w:val="24"/>
          <w:lang w:val="es-ES"/>
        </w:rPr>
        <w:t>8</w:t>
      </w:r>
      <w:r w:rsidR="00C4768A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(</w:t>
      </w:r>
      <w:r w:rsidR="00151DAE">
        <w:rPr>
          <w:sz w:val="24"/>
          <w:szCs w:val="24"/>
          <w:lang w:val="es-ES"/>
        </w:rPr>
        <w:t xml:space="preserve">seis </w:t>
      </w:r>
      <w:r>
        <w:rPr>
          <w:sz w:val="24"/>
          <w:szCs w:val="24"/>
          <w:lang w:val="es-ES"/>
        </w:rPr>
        <w:t xml:space="preserve">mil setecientos </w:t>
      </w:r>
      <w:r w:rsidR="00151DAE">
        <w:rPr>
          <w:sz w:val="24"/>
          <w:szCs w:val="24"/>
          <w:lang w:val="es-ES"/>
        </w:rPr>
        <w:t>cincuenta y un</w:t>
      </w:r>
      <w:r>
        <w:rPr>
          <w:sz w:val="24"/>
          <w:szCs w:val="24"/>
          <w:lang w:val="es-ES"/>
        </w:rPr>
        <w:t xml:space="preserve"> </w:t>
      </w:r>
      <w:r w:rsidR="00875EA7">
        <w:rPr>
          <w:sz w:val="24"/>
          <w:szCs w:val="24"/>
          <w:lang w:val="es-ES"/>
        </w:rPr>
        <w:t xml:space="preserve">millones, </w:t>
      </w:r>
      <w:r w:rsidR="00151DAE">
        <w:rPr>
          <w:sz w:val="24"/>
          <w:szCs w:val="24"/>
          <w:lang w:val="es-ES"/>
        </w:rPr>
        <w:t xml:space="preserve">doscientos </w:t>
      </w:r>
      <w:r w:rsidR="006F4010">
        <w:rPr>
          <w:sz w:val="24"/>
          <w:szCs w:val="24"/>
          <w:lang w:val="es-ES"/>
        </w:rPr>
        <w:t>sesenta y</w:t>
      </w:r>
      <w:r w:rsidR="00151DAE">
        <w:rPr>
          <w:sz w:val="24"/>
          <w:szCs w:val="24"/>
          <w:lang w:val="es-ES"/>
        </w:rPr>
        <w:t xml:space="preserve"> cinco </w:t>
      </w:r>
      <w:r>
        <w:rPr>
          <w:sz w:val="24"/>
          <w:szCs w:val="24"/>
          <w:lang w:val="es-ES"/>
        </w:rPr>
        <w:t xml:space="preserve">mil </w:t>
      </w:r>
      <w:r w:rsidR="006F4010">
        <w:rPr>
          <w:sz w:val="24"/>
          <w:szCs w:val="24"/>
          <w:lang w:val="es-ES"/>
        </w:rPr>
        <w:t>doscientos setenta y cuatro p</w:t>
      </w:r>
      <w:r>
        <w:rPr>
          <w:sz w:val="24"/>
          <w:szCs w:val="24"/>
          <w:lang w:val="es-ES"/>
        </w:rPr>
        <w:t>esos con 8</w:t>
      </w:r>
      <w:r w:rsidR="006F4010">
        <w:rPr>
          <w:sz w:val="24"/>
          <w:szCs w:val="24"/>
          <w:lang w:val="es-ES"/>
        </w:rPr>
        <w:t>8</w:t>
      </w:r>
      <w:r>
        <w:rPr>
          <w:sz w:val="24"/>
          <w:szCs w:val="24"/>
          <w:lang w:val="es-ES"/>
        </w:rPr>
        <w:t>/100)</w:t>
      </w:r>
      <w:r w:rsidR="00D54A93">
        <w:rPr>
          <w:sz w:val="24"/>
          <w:szCs w:val="24"/>
          <w:lang w:val="es-ES"/>
        </w:rPr>
        <w:t xml:space="preserve">    </w:t>
      </w:r>
    </w:p>
    <w:tbl>
      <w:tblPr>
        <w:tblW w:w="5340" w:type="dxa"/>
        <w:tblInd w:w="1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720"/>
      </w:tblGrid>
      <w:tr w:rsidR="00BD76A5" w:rsidRPr="00974EDD" w:rsidTr="00A22036">
        <w:trPr>
          <w:trHeight w:val="1958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A5" w:rsidRDefault="00BD76A5" w:rsidP="004E371F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3E357A" w:rsidRDefault="003E357A" w:rsidP="004E371F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3E357A" w:rsidRDefault="003E357A" w:rsidP="004E371F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3E357A" w:rsidRDefault="003E357A" w:rsidP="004E371F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3E357A" w:rsidRDefault="003E357A" w:rsidP="004E371F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3E357A" w:rsidRDefault="003E357A" w:rsidP="004E371F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3E357A" w:rsidRDefault="003E357A" w:rsidP="00C4768A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3E357A" w:rsidRDefault="003E357A" w:rsidP="004E371F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BD76A5" w:rsidRPr="00974EDD" w:rsidRDefault="00BD76A5" w:rsidP="004E371F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974EDD">
              <w:rPr>
                <w:b/>
                <w:bCs/>
                <w:color w:val="000000"/>
                <w:sz w:val="24"/>
                <w:szCs w:val="24"/>
                <w:lang w:val="es-ES"/>
              </w:rPr>
              <w:t>IMPUESTOS LIQUIDADOS</w:t>
            </w:r>
          </w:p>
        </w:tc>
      </w:tr>
      <w:tr w:rsidR="00BD76A5" w:rsidRPr="00974EDD" w:rsidTr="004E371F">
        <w:trPr>
          <w:trHeight w:val="315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A5" w:rsidRPr="00974EDD" w:rsidRDefault="00BD76A5" w:rsidP="00C46DA0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/>
              </w:rPr>
              <w:t>Durante el periodo Enero-Dicie</w:t>
            </w:r>
            <w:r w:rsidRPr="00974EDD">
              <w:rPr>
                <w:b/>
                <w:bCs/>
                <w:color w:val="000000"/>
                <w:sz w:val="24"/>
                <w:szCs w:val="24"/>
                <w:lang w:val="es-ES"/>
              </w:rPr>
              <w:t>mbre 201</w:t>
            </w:r>
            <w:r w:rsidR="00C46DA0">
              <w:rPr>
                <w:b/>
                <w:bCs/>
                <w:color w:val="000000"/>
                <w:sz w:val="24"/>
                <w:szCs w:val="24"/>
                <w:lang w:val="es-ES"/>
              </w:rPr>
              <w:t>8</w:t>
            </w:r>
          </w:p>
        </w:tc>
      </w:tr>
      <w:tr w:rsidR="00BD76A5" w:rsidRPr="00974EDD" w:rsidTr="004E371F">
        <w:trPr>
          <w:trHeight w:val="315"/>
        </w:trPr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6A5" w:rsidRPr="00974EDD" w:rsidRDefault="00BD76A5" w:rsidP="004E371F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974EDD">
              <w:rPr>
                <w:b/>
                <w:bCs/>
                <w:color w:val="000000"/>
                <w:sz w:val="24"/>
                <w:szCs w:val="24"/>
                <w:lang w:val="es-ES"/>
              </w:rPr>
              <w:t>Cuadro No</w:t>
            </w:r>
            <w:r>
              <w:rPr>
                <w:b/>
                <w:bCs/>
                <w:color w:val="000000"/>
                <w:sz w:val="24"/>
                <w:szCs w:val="24"/>
                <w:lang w:val="es-ES"/>
              </w:rPr>
              <w:t>.2</w:t>
            </w:r>
          </w:p>
        </w:tc>
      </w:tr>
      <w:tr w:rsidR="00BD76A5" w:rsidRPr="00974EDD" w:rsidTr="004E371F">
        <w:trPr>
          <w:trHeight w:val="555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D76A5" w:rsidRPr="00974EDD" w:rsidRDefault="00BD76A5" w:rsidP="004E371F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974EDD">
              <w:rPr>
                <w:b/>
                <w:bCs/>
                <w:color w:val="000000"/>
                <w:sz w:val="24"/>
                <w:szCs w:val="24"/>
                <w:lang w:val="es-ES"/>
              </w:rPr>
              <w:t>MESES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D76A5" w:rsidRPr="00974EDD" w:rsidRDefault="00BD76A5" w:rsidP="004E371F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974EDD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MONTO </w:t>
            </w:r>
          </w:p>
        </w:tc>
      </w:tr>
      <w:tr w:rsidR="00BD76A5" w:rsidRPr="00974EDD" w:rsidTr="004E371F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6A5" w:rsidRPr="00974EDD" w:rsidRDefault="00BD76A5" w:rsidP="004E371F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6A5" w:rsidRPr="00974EDD" w:rsidRDefault="00BD76A5" w:rsidP="004E371F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</w:tr>
      <w:tr w:rsidR="00426DAF" w:rsidRPr="00974EDD" w:rsidTr="004E371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AF" w:rsidRPr="00974EDD" w:rsidRDefault="00426DAF" w:rsidP="004E371F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74ED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Enero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AF" w:rsidRDefault="00426D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532,938,463.36 </w:t>
            </w:r>
          </w:p>
        </w:tc>
      </w:tr>
      <w:tr w:rsidR="00426DAF" w:rsidRPr="00974EDD" w:rsidTr="004E371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AF" w:rsidRPr="00974EDD" w:rsidRDefault="00426DAF" w:rsidP="004E371F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74ED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Febrero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AF" w:rsidRDefault="00426D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503,802,433.12 </w:t>
            </w:r>
          </w:p>
        </w:tc>
      </w:tr>
      <w:tr w:rsidR="00426DAF" w:rsidRPr="00974EDD" w:rsidTr="004E371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AF" w:rsidRPr="00974EDD" w:rsidRDefault="00426DAF" w:rsidP="004E371F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74ED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Marzo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AF" w:rsidRDefault="00426D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607,842,935.20 </w:t>
            </w:r>
          </w:p>
        </w:tc>
      </w:tr>
      <w:tr w:rsidR="00426DAF" w:rsidRPr="00974EDD" w:rsidTr="004E371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AF" w:rsidRPr="00974EDD" w:rsidRDefault="00426DAF" w:rsidP="004E371F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74ED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Abril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AF" w:rsidRDefault="00426D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562,731,805.76 </w:t>
            </w:r>
          </w:p>
        </w:tc>
      </w:tr>
      <w:tr w:rsidR="00426DAF" w:rsidRPr="00974EDD" w:rsidTr="004E371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AF" w:rsidRPr="00974EDD" w:rsidRDefault="00426DAF" w:rsidP="004E371F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74ED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Mayo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AF" w:rsidRDefault="00426D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602,282,215.68 </w:t>
            </w:r>
          </w:p>
        </w:tc>
      </w:tr>
      <w:tr w:rsidR="00426DAF" w:rsidRPr="00974EDD" w:rsidTr="004E371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AF" w:rsidRPr="00974EDD" w:rsidRDefault="00426DAF" w:rsidP="004E371F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74ED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Junio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AF" w:rsidRDefault="00426D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592,940,688.16 </w:t>
            </w:r>
          </w:p>
        </w:tc>
      </w:tr>
      <w:tr w:rsidR="00426DAF" w:rsidRPr="00974EDD" w:rsidTr="004E371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AF" w:rsidRPr="00974EDD" w:rsidRDefault="00426DAF" w:rsidP="004E371F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74ED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Julio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AF" w:rsidRDefault="00426D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605,414,812.00 </w:t>
            </w:r>
          </w:p>
        </w:tc>
      </w:tr>
      <w:tr w:rsidR="00426DAF" w:rsidRPr="00974EDD" w:rsidTr="004E371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AF" w:rsidRPr="00974EDD" w:rsidRDefault="00426DAF" w:rsidP="004E371F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74ED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Agosto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AF" w:rsidRDefault="00426D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621,099,952.00 </w:t>
            </w:r>
          </w:p>
        </w:tc>
      </w:tr>
      <w:tr w:rsidR="00426DAF" w:rsidRPr="00974EDD" w:rsidTr="004E371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AF" w:rsidRPr="00974EDD" w:rsidRDefault="00426DAF" w:rsidP="004E371F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74ED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Septiembre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AF" w:rsidRDefault="00426D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529,358,006.72 </w:t>
            </w:r>
          </w:p>
        </w:tc>
      </w:tr>
      <w:tr w:rsidR="00426DAF" w:rsidRPr="00974EDD" w:rsidTr="004E371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AF" w:rsidRPr="00974EDD" w:rsidRDefault="00426DAF" w:rsidP="004E371F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74ED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Octubre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AF" w:rsidRDefault="00426D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498,077,239.04 </w:t>
            </w:r>
          </w:p>
        </w:tc>
      </w:tr>
      <w:tr w:rsidR="00426DAF" w:rsidRPr="00974EDD" w:rsidTr="004E371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AF" w:rsidRPr="00974EDD" w:rsidRDefault="00426DAF" w:rsidP="004E371F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74ED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Noviembre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AF" w:rsidRDefault="00426D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508,242,463.68 </w:t>
            </w:r>
          </w:p>
        </w:tc>
      </w:tr>
      <w:tr w:rsidR="00426DAF" w:rsidRPr="00974EDD" w:rsidTr="004E371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AF" w:rsidRPr="00974EDD" w:rsidRDefault="00426DAF" w:rsidP="004E371F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74ED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Diciembre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AF" w:rsidRDefault="00426D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586,534,260.64 </w:t>
            </w:r>
          </w:p>
        </w:tc>
      </w:tr>
      <w:tr w:rsidR="00426DAF" w:rsidRPr="00974EDD" w:rsidTr="004E371F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26DAF" w:rsidRPr="00974EDD" w:rsidRDefault="00426DAF" w:rsidP="004E371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974E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Total RD$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26DAF" w:rsidRDefault="00426D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6,751,265,274.88 </w:t>
            </w:r>
          </w:p>
        </w:tc>
      </w:tr>
    </w:tbl>
    <w:p w:rsidR="00312472" w:rsidRDefault="00312472" w:rsidP="00091105">
      <w:pPr>
        <w:spacing w:line="360" w:lineRule="auto"/>
        <w:jc w:val="both"/>
        <w:rPr>
          <w:sz w:val="24"/>
          <w:szCs w:val="24"/>
          <w:lang w:val="es-ES"/>
        </w:rPr>
      </w:pPr>
    </w:p>
    <w:p w:rsidR="00312472" w:rsidRDefault="00312472" w:rsidP="00091105">
      <w:pPr>
        <w:spacing w:line="360" w:lineRule="auto"/>
        <w:jc w:val="both"/>
        <w:rPr>
          <w:sz w:val="24"/>
          <w:szCs w:val="24"/>
          <w:lang w:val="es-ES"/>
        </w:rPr>
      </w:pPr>
    </w:p>
    <w:p w:rsidR="003B08D2" w:rsidRPr="0015301E" w:rsidRDefault="00091105" w:rsidP="00091105">
      <w:pPr>
        <w:spacing w:line="360" w:lineRule="auto"/>
        <w:jc w:val="both"/>
        <w:rPr>
          <w:b/>
          <w:sz w:val="24"/>
          <w:szCs w:val="24"/>
          <w:lang w:val="es-ES"/>
        </w:rPr>
      </w:pPr>
      <w:r w:rsidRPr="0064556E">
        <w:rPr>
          <w:sz w:val="24"/>
          <w:szCs w:val="24"/>
          <w:lang w:val="es-ES"/>
        </w:rPr>
        <w:t>Se concluyeron</w:t>
      </w:r>
      <w:r w:rsidRPr="00C664C3">
        <w:rPr>
          <w:sz w:val="24"/>
          <w:szCs w:val="24"/>
          <w:lang w:val="es-ES"/>
        </w:rPr>
        <w:t xml:space="preserve"> </w:t>
      </w:r>
      <w:r w:rsidR="00426DAF">
        <w:rPr>
          <w:sz w:val="24"/>
          <w:szCs w:val="24"/>
          <w:lang w:val="es-ES"/>
        </w:rPr>
        <w:t>dieciséis</w:t>
      </w:r>
      <w:r w:rsidR="003B08D2">
        <w:rPr>
          <w:sz w:val="24"/>
          <w:szCs w:val="24"/>
          <w:lang w:val="es-ES"/>
        </w:rPr>
        <w:t xml:space="preserve"> (16</w:t>
      </w:r>
      <w:r>
        <w:rPr>
          <w:sz w:val="24"/>
          <w:szCs w:val="24"/>
          <w:lang w:val="es-ES"/>
        </w:rPr>
        <w:t>) inspecciones</w:t>
      </w:r>
      <w:r w:rsidR="00204EFB">
        <w:rPr>
          <w:sz w:val="24"/>
          <w:szCs w:val="24"/>
          <w:lang w:val="es-ES"/>
        </w:rPr>
        <w:t xml:space="preserve"> de liquidación de impuesto</w:t>
      </w:r>
      <w:r>
        <w:rPr>
          <w:sz w:val="24"/>
          <w:szCs w:val="24"/>
          <w:lang w:val="es-ES"/>
        </w:rPr>
        <w:t xml:space="preserve"> he</w:t>
      </w:r>
      <w:r w:rsidR="00151DAE">
        <w:rPr>
          <w:sz w:val="24"/>
          <w:szCs w:val="24"/>
          <w:lang w:val="es-ES"/>
        </w:rPr>
        <w:t>chas a las compañías de seguros</w:t>
      </w:r>
      <w:r>
        <w:rPr>
          <w:sz w:val="24"/>
          <w:szCs w:val="24"/>
          <w:lang w:val="es-ES"/>
        </w:rPr>
        <w:t xml:space="preserve"> arrojando una prima neta pendiente </w:t>
      </w:r>
      <w:r w:rsidRPr="0041043A">
        <w:rPr>
          <w:color w:val="000000"/>
          <w:sz w:val="24"/>
          <w:szCs w:val="24"/>
          <w:lang w:val="es-ES"/>
        </w:rPr>
        <w:t xml:space="preserve">por reportar </w:t>
      </w:r>
      <w:r>
        <w:rPr>
          <w:color w:val="000000"/>
          <w:sz w:val="24"/>
          <w:szCs w:val="24"/>
          <w:lang w:val="es-ES"/>
        </w:rPr>
        <w:t>por</w:t>
      </w:r>
      <w:r w:rsidRPr="0041043A">
        <w:rPr>
          <w:color w:val="000000"/>
          <w:sz w:val="24"/>
          <w:szCs w:val="24"/>
          <w:lang w:val="es-ES"/>
        </w:rPr>
        <w:t xml:space="preserve"> la suma</w:t>
      </w:r>
      <w:r>
        <w:rPr>
          <w:sz w:val="24"/>
          <w:szCs w:val="24"/>
          <w:lang w:val="es-ES"/>
        </w:rPr>
        <w:t xml:space="preserve"> de </w:t>
      </w:r>
      <w:r w:rsidR="00875EA7">
        <w:rPr>
          <w:b/>
          <w:sz w:val="24"/>
          <w:szCs w:val="24"/>
          <w:lang w:val="es-ES"/>
        </w:rPr>
        <w:t>RD$2,413,832.98</w:t>
      </w:r>
      <w:r w:rsidR="00204EFB">
        <w:rPr>
          <w:b/>
          <w:sz w:val="24"/>
          <w:szCs w:val="24"/>
          <w:lang w:val="es-ES"/>
        </w:rPr>
        <w:t xml:space="preserve"> </w:t>
      </w:r>
      <w:r w:rsidR="003B08D2">
        <w:rPr>
          <w:b/>
          <w:sz w:val="24"/>
          <w:szCs w:val="24"/>
          <w:lang w:val="es-ES"/>
        </w:rPr>
        <w:t>(dos millones cuatro cientos trece mil ochocientos treinta y dos pesos con 98/100)</w:t>
      </w:r>
      <w:r w:rsidR="00C30B05">
        <w:rPr>
          <w:b/>
          <w:sz w:val="24"/>
          <w:szCs w:val="24"/>
          <w:lang w:val="es-ES"/>
        </w:rPr>
        <w:t>.</w:t>
      </w:r>
      <w:bookmarkStart w:id="0" w:name="_GoBack"/>
      <w:bookmarkEnd w:id="0"/>
    </w:p>
    <w:p w:rsidR="00091105" w:rsidRDefault="00091105" w:rsidP="00091105">
      <w:pPr>
        <w:spacing w:line="360" w:lineRule="auto"/>
        <w:jc w:val="both"/>
        <w:rPr>
          <w:b/>
          <w:sz w:val="16"/>
          <w:szCs w:val="16"/>
          <w:lang w:val="es-ES"/>
        </w:rPr>
      </w:pPr>
    </w:p>
    <w:p w:rsidR="00091105" w:rsidRDefault="00875EA7" w:rsidP="00091105">
      <w:pPr>
        <w:spacing w:line="360" w:lineRule="auto"/>
        <w:jc w:val="both"/>
        <w:rPr>
          <w:sz w:val="24"/>
          <w:szCs w:val="24"/>
          <w:lang w:eastAsia="es-ES_tradnl"/>
        </w:rPr>
      </w:pPr>
      <w:r>
        <w:rPr>
          <w:sz w:val="24"/>
          <w:szCs w:val="24"/>
          <w:lang w:eastAsia="es-ES_tradnl"/>
        </w:rPr>
        <w:t>Recibimos ciento veinte y cinco (125</w:t>
      </w:r>
      <w:r w:rsidR="00091105">
        <w:rPr>
          <w:sz w:val="24"/>
          <w:szCs w:val="24"/>
          <w:lang w:eastAsia="es-ES_tradnl"/>
        </w:rPr>
        <w:t>) reportes de comisiones por los corredores de segu</w:t>
      </w:r>
      <w:r w:rsidR="00C46DA0">
        <w:rPr>
          <w:sz w:val="24"/>
          <w:szCs w:val="24"/>
          <w:lang w:eastAsia="es-ES_tradnl"/>
        </w:rPr>
        <w:t>ros, correspondiente al año 2018</w:t>
      </w:r>
      <w:r w:rsidR="00091105">
        <w:rPr>
          <w:sz w:val="24"/>
          <w:szCs w:val="24"/>
          <w:lang w:eastAsia="es-ES_tradnl"/>
        </w:rPr>
        <w:t xml:space="preserve"> </w:t>
      </w:r>
      <w:r w:rsidR="00876A23">
        <w:rPr>
          <w:sz w:val="24"/>
          <w:szCs w:val="24"/>
          <w:lang w:eastAsia="es-ES_tradnl"/>
        </w:rPr>
        <w:t>tramitándose al</w:t>
      </w:r>
      <w:r w:rsidR="00091105">
        <w:rPr>
          <w:sz w:val="24"/>
          <w:szCs w:val="24"/>
          <w:lang w:eastAsia="es-ES_tradnl"/>
        </w:rPr>
        <w:t xml:space="preserve"> departamento correspondiente.</w:t>
      </w:r>
    </w:p>
    <w:p w:rsidR="00091105" w:rsidRDefault="00091105" w:rsidP="00091105">
      <w:pPr>
        <w:spacing w:line="360" w:lineRule="auto"/>
        <w:jc w:val="both"/>
        <w:rPr>
          <w:sz w:val="24"/>
          <w:szCs w:val="24"/>
          <w:lang w:eastAsia="es-ES_tradnl"/>
        </w:rPr>
      </w:pPr>
    </w:p>
    <w:p w:rsidR="00091105" w:rsidRDefault="00091105" w:rsidP="00091105">
      <w:pPr>
        <w:spacing w:line="360" w:lineRule="auto"/>
        <w:jc w:val="both"/>
        <w:rPr>
          <w:sz w:val="24"/>
          <w:szCs w:val="24"/>
          <w:lang w:eastAsia="es-ES_tradnl"/>
        </w:rPr>
      </w:pPr>
      <w:r>
        <w:rPr>
          <w:sz w:val="24"/>
          <w:szCs w:val="24"/>
          <w:lang w:eastAsia="es-ES_tradnl"/>
        </w:rPr>
        <w:t xml:space="preserve">Recibimos </w:t>
      </w:r>
      <w:r w:rsidRPr="00F94672">
        <w:rPr>
          <w:sz w:val="24"/>
          <w:szCs w:val="24"/>
          <w:lang w:eastAsia="es-ES_tradnl"/>
        </w:rPr>
        <w:t>cuatro (4)</w:t>
      </w:r>
      <w:r>
        <w:rPr>
          <w:sz w:val="24"/>
          <w:szCs w:val="24"/>
          <w:lang w:eastAsia="es-ES_tradnl"/>
        </w:rPr>
        <w:t xml:space="preserve"> reportes de compañías de seguros, informando las comisiones pagadas a los corr</w:t>
      </w:r>
      <w:r w:rsidR="00C46DA0">
        <w:rPr>
          <w:sz w:val="24"/>
          <w:szCs w:val="24"/>
          <w:lang w:eastAsia="es-ES_tradnl"/>
        </w:rPr>
        <w:t>edores de seguros en el año</w:t>
      </w:r>
      <w:r>
        <w:rPr>
          <w:sz w:val="24"/>
          <w:szCs w:val="24"/>
          <w:lang w:eastAsia="es-ES_tradnl"/>
        </w:rPr>
        <w:t>, las cuales detallamos a continuación:</w:t>
      </w:r>
    </w:p>
    <w:p w:rsidR="00B27BCA" w:rsidRDefault="00B27BCA" w:rsidP="00091105">
      <w:pPr>
        <w:spacing w:line="360" w:lineRule="auto"/>
        <w:rPr>
          <w:b/>
          <w:sz w:val="24"/>
          <w:szCs w:val="24"/>
          <w:lang w:eastAsia="es-ES_tradnl"/>
        </w:rPr>
      </w:pPr>
    </w:p>
    <w:p w:rsidR="00091105" w:rsidRPr="00F566C6" w:rsidRDefault="00091105" w:rsidP="00091105">
      <w:pPr>
        <w:spacing w:line="360" w:lineRule="auto"/>
        <w:rPr>
          <w:b/>
          <w:sz w:val="24"/>
          <w:szCs w:val="24"/>
          <w:u w:val="single"/>
          <w:lang w:eastAsia="es-ES_tradnl"/>
        </w:rPr>
      </w:pPr>
      <w:r w:rsidRPr="00F566C6">
        <w:rPr>
          <w:b/>
          <w:sz w:val="24"/>
          <w:szCs w:val="24"/>
          <w:lang w:eastAsia="es-ES_tradnl"/>
        </w:rPr>
        <w:t>Compañías</w:t>
      </w:r>
      <w:r w:rsidRPr="00F566C6">
        <w:rPr>
          <w:b/>
          <w:sz w:val="24"/>
          <w:szCs w:val="24"/>
          <w:lang w:eastAsia="es-ES_tradnl"/>
        </w:rPr>
        <w:tab/>
      </w:r>
      <w:r>
        <w:rPr>
          <w:b/>
          <w:sz w:val="24"/>
          <w:szCs w:val="24"/>
          <w:lang w:eastAsia="es-ES_tradnl"/>
        </w:rPr>
        <w:tab/>
      </w:r>
      <w:r>
        <w:rPr>
          <w:b/>
          <w:sz w:val="24"/>
          <w:szCs w:val="24"/>
          <w:lang w:eastAsia="es-ES_tradnl"/>
        </w:rPr>
        <w:tab/>
      </w:r>
      <w:r>
        <w:rPr>
          <w:b/>
          <w:sz w:val="24"/>
          <w:szCs w:val="24"/>
          <w:lang w:eastAsia="es-ES_tradnl"/>
        </w:rPr>
        <w:tab/>
      </w:r>
      <w:r w:rsidR="00C46DA0">
        <w:rPr>
          <w:b/>
          <w:sz w:val="24"/>
          <w:szCs w:val="24"/>
          <w:lang w:eastAsia="es-ES_tradnl"/>
        </w:rPr>
        <w:tab/>
      </w:r>
      <w:r w:rsidRPr="00F566C6">
        <w:rPr>
          <w:b/>
          <w:sz w:val="24"/>
          <w:szCs w:val="24"/>
          <w:lang w:eastAsia="es-ES_tradnl"/>
        </w:rPr>
        <w:t>Período</w:t>
      </w:r>
    </w:p>
    <w:p w:rsidR="00091105" w:rsidRPr="00547859" w:rsidRDefault="00091105" w:rsidP="00091105">
      <w:pPr>
        <w:spacing w:line="360" w:lineRule="auto"/>
        <w:jc w:val="both"/>
        <w:rPr>
          <w:sz w:val="24"/>
          <w:szCs w:val="24"/>
          <w:lang w:eastAsia="es-ES_tradnl"/>
        </w:rPr>
      </w:pPr>
      <w:r>
        <w:rPr>
          <w:sz w:val="24"/>
          <w:szCs w:val="24"/>
          <w:lang w:eastAsia="es-ES_tradnl"/>
        </w:rPr>
        <w:t>Angloamericana d</w:t>
      </w:r>
      <w:r w:rsidR="00875EA7">
        <w:rPr>
          <w:sz w:val="24"/>
          <w:szCs w:val="24"/>
          <w:lang w:eastAsia="es-ES_tradnl"/>
        </w:rPr>
        <w:t>e Seguros</w:t>
      </w:r>
      <w:r w:rsidR="00C46DA0">
        <w:rPr>
          <w:sz w:val="24"/>
          <w:szCs w:val="24"/>
          <w:lang w:eastAsia="es-ES_tradnl"/>
        </w:rPr>
        <w:t>, S.A.</w:t>
      </w:r>
      <w:r w:rsidR="00875EA7">
        <w:rPr>
          <w:sz w:val="24"/>
          <w:szCs w:val="24"/>
          <w:lang w:eastAsia="es-ES_tradnl"/>
        </w:rPr>
        <w:tab/>
      </w:r>
      <w:r w:rsidR="00875EA7">
        <w:rPr>
          <w:sz w:val="24"/>
          <w:szCs w:val="24"/>
          <w:lang w:eastAsia="es-ES_tradnl"/>
        </w:rPr>
        <w:tab/>
        <w:t>Enero-Septiembre 2018</w:t>
      </w:r>
    </w:p>
    <w:p w:rsidR="00091105" w:rsidRPr="00547859" w:rsidRDefault="00091105" w:rsidP="00091105">
      <w:pPr>
        <w:spacing w:line="360" w:lineRule="auto"/>
        <w:jc w:val="both"/>
        <w:rPr>
          <w:sz w:val="24"/>
          <w:szCs w:val="24"/>
          <w:lang w:eastAsia="es-ES_tradnl"/>
        </w:rPr>
      </w:pPr>
      <w:r>
        <w:rPr>
          <w:sz w:val="24"/>
          <w:szCs w:val="24"/>
          <w:lang w:eastAsia="es-ES_tradnl"/>
        </w:rPr>
        <w:t>Confederación de Ca</w:t>
      </w:r>
      <w:r w:rsidR="00875EA7">
        <w:rPr>
          <w:sz w:val="24"/>
          <w:szCs w:val="24"/>
          <w:lang w:eastAsia="es-ES_tradnl"/>
        </w:rPr>
        <w:t>nadá, S.A.</w:t>
      </w:r>
      <w:r w:rsidR="00875EA7">
        <w:rPr>
          <w:sz w:val="24"/>
          <w:szCs w:val="24"/>
          <w:lang w:eastAsia="es-ES_tradnl"/>
        </w:rPr>
        <w:tab/>
      </w:r>
      <w:r w:rsidR="00C46DA0">
        <w:rPr>
          <w:sz w:val="24"/>
          <w:szCs w:val="24"/>
          <w:lang w:eastAsia="es-ES_tradnl"/>
        </w:rPr>
        <w:tab/>
      </w:r>
      <w:r w:rsidR="00875EA7">
        <w:rPr>
          <w:sz w:val="24"/>
          <w:szCs w:val="24"/>
          <w:lang w:eastAsia="es-ES_tradnl"/>
        </w:rPr>
        <w:t>Enero-Septiembre 2018</w:t>
      </w:r>
    </w:p>
    <w:p w:rsidR="00091105" w:rsidRPr="00547859" w:rsidRDefault="00091105" w:rsidP="00091105">
      <w:pPr>
        <w:spacing w:line="360" w:lineRule="auto"/>
        <w:jc w:val="both"/>
        <w:rPr>
          <w:sz w:val="24"/>
          <w:szCs w:val="24"/>
          <w:lang w:eastAsia="es-ES_tradnl"/>
        </w:rPr>
      </w:pPr>
      <w:r>
        <w:rPr>
          <w:sz w:val="24"/>
          <w:szCs w:val="24"/>
          <w:lang w:eastAsia="es-ES_tradnl"/>
        </w:rPr>
        <w:t>Seguros Patr</w:t>
      </w:r>
      <w:r w:rsidR="003913B7">
        <w:rPr>
          <w:sz w:val="24"/>
          <w:szCs w:val="24"/>
          <w:lang w:eastAsia="es-ES_tradnl"/>
        </w:rPr>
        <w:t>ia, S.A.</w:t>
      </w:r>
      <w:r w:rsidR="003913B7">
        <w:rPr>
          <w:sz w:val="24"/>
          <w:szCs w:val="24"/>
          <w:lang w:eastAsia="es-ES_tradnl"/>
        </w:rPr>
        <w:tab/>
      </w:r>
      <w:r w:rsidR="00875EA7">
        <w:rPr>
          <w:sz w:val="24"/>
          <w:szCs w:val="24"/>
          <w:lang w:eastAsia="es-ES_tradnl"/>
        </w:rPr>
        <w:tab/>
      </w:r>
      <w:r w:rsidR="00875EA7">
        <w:rPr>
          <w:sz w:val="24"/>
          <w:szCs w:val="24"/>
          <w:lang w:eastAsia="es-ES_tradnl"/>
        </w:rPr>
        <w:tab/>
      </w:r>
      <w:r w:rsidR="00C46DA0">
        <w:rPr>
          <w:sz w:val="24"/>
          <w:szCs w:val="24"/>
          <w:lang w:eastAsia="es-ES_tradnl"/>
        </w:rPr>
        <w:tab/>
      </w:r>
      <w:r w:rsidR="00875EA7">
        <w:rPr>
          <w:sz w:val="24"/>
          <w:szCs w:val="24"/>
          <w:lang w:eastAsia="es-ES_tradnl"/>
        </w:rPr>
        <w:t>Enero-Septiembre 2018</w:t>
      </w:r>
    </w:p>
    <w:p w:rsidR="00091105" w:rsidRPr="00547859" w:rsidRDefault="00091105" w:rsidP="00091105">
      <w:pPr>
        <w:spacing w:line="360" w:lineRule="auto"/>
        <w:jc w:val="both"/>
        <w:rPr>
          <w:sz w:val="24"/>
          <w:szCs w:val="24"/>
          <w:lang w:eastAsia="es-ES_tradnl"/>
        </w:rPr>
      </w:pPr>
      <w:r>
        <w:rPr>
          <w:sz w:val="24"/>
          <w:szCs w:val="24"/>
          <w:lang w:eastAsia="es-ES_tradnl"/>
        </w:rPr>
        <w:t xml:space="preserve">General de </w:t>
      </w:r>
      <w:r w:rsidR="00875EA7">
        <w:rPr>
          <w:sz w:val="24"/>
          <w:szCs w:val="24"/>
          <w:lang w:eastAsia="es-ES_tradnl"/>
        </w:rPr>
        <w:t>Seguros, S.A.</w:t>
      </w:r>
      <w:r w:rsidR="00875EA7">
        <w:rPr>
          <w:sz w:val="24"/>
          <w:szCs w:val="24"/>
          <w:lang w:eastAsia="es-ES_tradnl"/>
        </w:rPr>
        <w:tab/>
      </w:r>
      <w:r w:rsidR="00875EA7">
        <w:rPr>
          <w:sz w:val="24"/>
          <w:szCs w:val="24"/>
          <w:lang w:eastAsia="es-ES_tradnl"/>
        </w:rPr>
        <w:tab/>
      </w:r>
      <w:r w:rsidR="00C46DA0">
        <w:rPr>
          <w:sz w:val="24"/>
          <w:szCs w:val="24"/>
          <w:lang w:eastAsia="es-ES_tradnl"/>
        </w:rPr>
        <w:tab/>
      </w:r>
      <w:r w:rsidR="00875EA7">
        <w:rPr>
          <w:sz w:val="24"/>
          <w:szCs w:val="24"/>
          <w:lang w:eastAsia="es-ES_tradnl"/>
        </w:rPr>
        <w:t>Enero-Agosto 2018</w:t>
      </w:r>
    </w:p>
    <w:p w:rsidR="00091105" w:rsidRDefault="00091105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B27BCA" w:rsidRDefault="00091105" w:rsidP="00091105">
      <w:pPr>
        <w:spacing w:line="360" w:lineRule="auto"/>
        <w:jc w:val="both"/>
        <w:rPr>
          <w:b/>
          <w:sz w:val="24"/>
          <w:szCs w:val="24"/>
          <w:lang w:val="es-ES"/>
        </w:rPr>
      </w:pPr>
      <w:r w:rsidRPr="00E467C0">
        <w:rPr>
          <w:sz w:val="24"/>
          <w:szCs w:val="24"/>
          <w:lang w:val="es-ES"/>
        </w:rPr>
        <w:t>D</w:t>
      </w:r>
      <w:r w:rsidR="0024175F">
        <w:rPr>
          <w:sz w:val="24"/>
          <w:szCs w:val="24"/>
          <w:lang w:val="es-ES"/>
        </w:rPr>
        <w:t xml:space="preserve">urante el período </w:t>
      </w:r>
      <w:r w:rsidRPr="00E467C0">
        <w:rPr>
          <w:sz w:val="24"/>
          <w:szCs w:val="24"/>
          <w:lang w:val="es-ES"/>
        </w:rPr>
        <w:t>la Superintendencia de Seguros</w:t>
      </w:r>
      <w:r>
        <w:rPr>
          <w:sz w:val="24"/>
          <w:szCs w:val="24"/>
          <w:lang w:val="es-ES"/>
        </w:rPr>
        <w:t xml:space="preserve"> impartió los </w:t>
      </w:r>
      <w:r w:rsidRPr="00E467C0">
        <w:rPr>
          <w:sz w:val="24"/>
          <w:szCs w:val="24"/>
          <w:lang w:val="es-ES"/>
        </w:rPr>
        <w:t xml:space="preserve">exámenes </w:t>
      </w:r>
      <w:r>
        <w:rPr>
          <w:sz w:val="24"/>
          <w:szCs w:val="24"/>
          <w:lang w:val="es-ES"/>
        </w:rPr>
        <w:t>que</w:t>
      </w:r>
      <w:r w:rsidRPr="00E467C0">
        <w:rPr>
          <w:sz w:val="24"/>
          <w:szCs w:val="24"/>
          <w:lang w:val="es-ES"/>
        </w:rPr>
        <w:t xml:space="preserve"> establece la Ley </w:t>
      </w:r>
      <w:r>
        <w:rPr>
          <w:sz w:val="24"/>
          <w:szCs w:val="24"/>
          <w:lang w:val="es-ES"/>
        </w:rPr>
        <w:t>No.</w:t>
      </w:r>
      <w:r w:rsidRPr="00E467C0">
        <w:rPr>
          <w:color w:val="000000"/>
          <w:sz w:val="24"/>
          <w:szCs w:val="24"/>
          <w:lang w:val="es-ES"/>
        </w:rPr>
        <w:t>146-02</w:t>
      </w:r>
      <w:r w:rsidRPr="00E467C0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</w:t>
      </w:r>
      <w:r w:rsidRPr="00E467C0">
        <w:rPr>
          <w:sz w:val="24"/>
          <w:szCs w:val="24"/>
          <w:lang w:val="es-ES"/>
        </w:rPr>
        <w:t>a los aspirantes a intermediarios en el área de Seguros</w:t>
      </w:r>
      <w:r>
        <w:rPr>
          <w:sz w:val="24"/>
          <w:szCs w:val="24"/>
          <w:lang w:val="es-ES"/>
        </w:rPr>
        <w:t>, h</w:t>
      </w:r>
      <w:r w:rsidR="00C901C1">
        <w:rPr>
          <w:sz w:val="24"/>
          <w:szCs w:val="24"/>
          <w:lang w:val="es-ES"/>
        </w:rPr>
        <w:t>ab</w:t>
      </w:r>
      <w:r w:rsidR="00EF1E94">
        <w:rPr>
          <w:sz w:val="24"/>
          <w:szCs w:val="24"/>
          <w:lang w:val="es-ES"/>
        </w:rPr>
        <w:t xml:space="preserve">iendo recibido y </w:t>
      </w:r>
      <w:r w:rsidR="00876A23">
        <w:rPr>
          <w:sz w:val="24"/>
          <w:szCs w:val="24"/>
          <w:lang w:val="es-ES"/>
        </w:rPr>
        <w:t>canalizados cuatrocientos</w:t>
      </w:r>
      <w:r w:rsidR="001938F3">
        <w:rPr>
          <w:sz w:val="24"/>
          <w:szCs w:val="24"/>
          <w:lang w:val="es-ES"/>
        </w:rPr>
        <w:t xml:space="preserve"> catorce </w:t>
      </w:r>
      <w:r w:rsidR="00152DF9">
        <w:rPr>
          <w:sz w:val="24"/>
          <w:szCs w:val="24"/>
          <w:lang w:val="es-ES"/>
        </w:rPr>
        <w:t>(</w:t>
      </w:r>
      <w:r w:rsidR="001938F3">
        <w:rPr>
          <w:sz w:val="24"/>
          <w:szCs w:val="24"/>
          <w:lang w:val="es-ES"/>
        </w:rPr>
        <w:t>414</w:t>
      </w:r>
      <w:r w:rsidR="007E57C0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 xml:space="preserve"> solicitudes de licencia y renovaciones de diferente</w:t>
      </w:r>
      <w:r w:rsidR="001938F3">
        <w:rPr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 xml:space="preserve"> tipos. </w:t>
      </w:r>
      <w:r w:rsidRPr="00E467C0">
        <w:rPr>
          <w:sz w:val="24"/>
          <w:szCs w:val="24"/>
          <w:lang w:val="es-ES"/>
        </w:rPr>
        <w:t xml:space="preserve"> </w:t>
      </w:r>
    </w:p>
    <w:p w:rsidR="00A22036" w:rsidRPr="00A22036" w:rsidRDefault="00A22036" w:rsidP="00091105">
      <w:pPr>
        <w:spacing w:line="360" w:lineRule="auto"/>
        <w:jc w:val="both"/>
        <w:rPr>
          <w:b/>
          <w:sz w:val="24"/>
          <w:szCs w:val="24"/>
          <w:lang w:val="es-ES"/>
        </w:rPr>
      </w:pPr>
    </w:p>
    <w:p w:rsidR="00091105" w:rsidRDefault="00091105" w:rsidP="009C6647">
      <w:pPr>
        <w:spacing w:line="360" w:lineRule="auto"/>
        <w:jc w:val="both"/>
        <w:rPr>
          <w:sz w:val="24"/>
          <w:szCs w:val="24"/>
          <w:lang w:val="es-ES"/>
        </w:rPr>
      </w:pPr>
      <w:r w:rsidRPr="00E467C0">
        <w:rPr>
          <w:sz w:val="24"/>
          <w:szCs w:val="24"/>
          <w:lang w:val="es-ES"/>
        </w:rPr>
        <w:t xml:space="preserve">Las certificaciones expedidas alcanzaron un total de </w:t>
      </w:r>
      <w:r w:rsidR="001938F3">
        <w:rPr>
          <w:sz w:val="24"/>
          <w:szCs w:val="24"/>
          <w:lang w:val="es-ES"/>
        </w:rPr>
        <w:t xml:space="preserve">cuatro </w:t>
      </w:r>
      <w:r w:rsidRPr="00E467C0">
        <w:rPr>
          <w:sz w:val="24"/>
          <w:szCs w:val="24"/>
          <w:lang w:val="es-ES"/>
        </w:rPr>
        <w:t>mil</w:t>
      </w:r>
      <w:r w:rsidR="002D5F06">
        <w:rPr>
          <w:sz w:val="24"/>
          <w:szCs w:val="24"/>
          <w:lang w:val="es-ES"/>
        </w:rPr>
        <w:t xml:space="preserve"> </w:t>
      </w:r>
      <w:r w:rsidR="001938F3">
        <w:rPr>
          <w:sz w:val="24"/>
          <w:szCs w:val="24"/>
          <w:lang w:val="es-ES"/>
        </w:rPr>
        <w:t xml:space="preserve">seiscientos catorce </w:t>
      </w:r>
      <w:r w:rsidRPr="00E467C0">
        <w:rPr>
          <w:sz w:val="24"/>
          <w:szCs w:val="24"/>
          <w:lang w:val="es-ES"/>
        </w:rPr>
        <w:t>(</w:t>
      </w:r>
      <w:r w:rsidR="001938F3">
        <w:rPr>
          <w:sz w:val="24"/>
          <w:szCs w:val="24"/>
          <w:lang w:val="es-ES"/>
        </w:rPr>
        <w:t>4,614</w:t>
      </w:r>
      <w:r w:rsidRPr="00E467C0">
        <w:rPr>
          <w:sz w:val="24"/>
          <w:szCs w:val="24"/>
          <w:lang w:val="es-ES"/>
        </w:rPr>
        <w:t>)</w:t>
      </w:r>
      <w:r w:rsidR="00DA3940">
        <w:rPr>
          <w:sz w:val="24"/>
          <w:szCs w:val="24"/>
          <w:lang w:val="es-ES"/>
        </w:rPr>
        <w:t xml:space="preserve"> a solicitud de los usuarios </w:t>
      </w:r>
      <w:r w:rsidR="00876A23">
        <w:rPr>
          <w:sz w:val="24"/>
          <w:szCs w:val="24"/>
          <w:lang w:val="es-ES"/>
        </w:rPr>
        <w:t>del seguro</w:t>
      </w:r>
      <w:r w:rsidR="00DA3940">
        <w:rPr>
          <w:sz w:val="24"/>
          <w:szCs w:val="24"/>
          <w:lang w:val="es-ES"/>
        </w:rPr>
        <w:t>.</w:t>
      </w:r>
    </w:p>
    <w:p w:rsidR="00B27BCA" w:rsidRDefault="00B27BCA" w:rsidP="00091105">
      <w:pPr>
        <w:spacing w:line="360" w:lineRule="auto"/>
        <w:jc w:val="both"/>
        <w:rPr>
          <w:sz w:val="24"/>
          <w:szCs w:val="24"/>
          <w:lang w:val="es-ES"/>
        </w:rPr>
      </w:pPr>
    </w:p>
    <w:p w:rsidR="00091105" w:rsidRDefault="00091105" w:rsidP="00091105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Verifi</w:t>
      </w:r>
      <w:r w:rsidR="00DA1AAB">
        <w:rPr>
          <w:sz w:val="24"/>
          <w:szCs w:val="24"/>
          <w:lang w:val="es-ES"/>
        </w:rPr>
        <w:t>camos setecientos quince (715</w:t>
      </w:r>
      <w:r>
        <w:rPr>
          <w:sz w:val="24"/>
          <w:szCs w:val="24"/>
          <w:lang w:val="es-ES"/>
        </w:rPr>
        <w:t>) contratos de fianzas para asegurar el cumplimento de la</w:t>
      </w:r>
      <w:r w:rsidR="00841C1C">
        <w:rPr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 xml:space="preserve"> obligaciones en virtud de sentencias dictadas en las cortes. Ver cuadro No.3</w:t>
      </w:r>
    </w:p>
    <w:p w:rsidR="00091105" w:rsidRDefault="00091105" w:rsidP="00091105">
      <w:pPr>
        <w:spacing w:line="360" w:lineRule="auto"/>
        <w:jc w:val="both"/>
        <w:rPr>
          <w:sz w:val="24"/>
          <w:szCs w:val="24"/>
          <w:lang w:val="es-ES"/>
        </w:rPr>
      </w:pPr>
    </w:p>
    <w:tbl>
      <w:tblPr>
        <w:tblW w:w="7516" w:type="dxa"/>
        <w:tblInd w:w="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661"/>
        <w:gridCol w:w="2260"/>
        <w:gridCol w:w="2315"/>
      </w:tblGrid>
      <w:tr w:rsidR="000A5EAC" w:rsidRPr="000A5EAC" w:rsidTr="000A5EAC">
        <w:trPr>
          <w:trHeight w:val="315"/>
        </w:trPr>
        <w:tc>
          <w:tcPr>
            <w:tcW w:w="7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EAC" w:rsidRPr="000A5EAC" w:rsidRDefault="000A5EAC" w:rsidP="000A5EAC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0A5EAC">
              <w:rPr>
                <w:b/>
                <w:bCs/>
                <w:color w:val="000000"/>
                <w:sz w:val="24"/>
                <w:szCs w:val="24"/>
                <w:lang w:val="es-ES"/>
              </w:rPr>
              <w:t>CONTRATOS DE FIANZAS</w:t>
            </w:r>
          </w:p>
        </w:tc>
      </w:tr>
      <w:tr w:rsidR="000A5EAC" w:rsidRPr="000A5EAC" w:rsidTr="000A5EAC">
        <w:trPr>
          <w:trHeight w:val="315"/>
        </w:trPr>
        <w:tc>
          <w:tcPr>
            <w:tcW w:w="7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AC" w:rsidRPr="000A5EAC" w:rsidRDefault="000A5EAC" w:rsidP="000A5EAC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0A5EAC">
              <w:rPr>
                <w:b/>
                <w:bCs/>
                <w:color w:val="000000"/>
                <w:sz w:val="24"/>
                <w:szCs w:val="24"/>
                <w:lang w:val="es-ES"/>
              </w:rPr>
              <w:t>Cuadro No.3</w:t>
            </w:r>
          </w:p>
        </w:tc>
      </w:tr>
      <w:tr w:rsidR="000A5EAC" w:rsidRPr="000A5EAC" w:rsidTr="000A5EAC">
        <w:trPr>
          <w:trHeight w:val="276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A5EAC" w:rsidRPr="000A5EAC" w:rsidRDefault="000A5EAC" w:rsidP="000A5EAC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0A5EAC">
              <w:rPr>
                <w:b/>
                <w:bCs/>
                <w:color w:val="000000"/>
                <w:sz w:val="24"/>
                <w:szCs w:val="24"/>
                <w:lang w:val="es-ES"/>
              </w:rPr>
              <w:t>MES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A5EAC" w:rsidRPr="000A5EAC" w:rsidRDefault="000A5EAC" w:rsidP="000A5EAC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0A5EAC">
              <w:rPr>
                <w:b/>
                <w:bCs/>
                <w:color w:val="000000"/>
                <w:sz w:val="24"/>
                <w:szCs w:val="24"/>
                <w:lang w:val="es-ES"/>
              </w:rPr>
              <w:t>CONTRATOS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A5EAC" w:rsidRPr="000A5EAC" w:rsidRDefault="000A5EAC" w:rsidP="000A5EAC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0A5EAC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FIANZAS 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0A5EAC" w:rsidRPr="000A5EAC" w:rsidRDefault="000A5EAC" w:rsidP="000A5EAC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0A5EAC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PRIMAS </w:t>
            </w:r>
          </w:p>
        </w:tc>
      </w:tr>
      <w:tr w:rsidR="000A5EAC" w:rsidRPr="000A5EAC" w:rsidTr="000A5EAC">
        <w:trPr>
          <w:trHeight w:val="31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EAC" w:rsidRPr="000A5EAC" w:rsidRDefault="000A5EAC" w:rsidP="000A5EAC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EAC" w:rsidRPr="000A5EAC" w:rsidRDefault="000A5EAC" w:rsidP="000A5EAC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EAC" w:rsidRPr="000A5EAC" w:rsidRDefault="000A5EAC" w:rsidP="000A5EAC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EAC" w:rsidRPr="000A5EAC" w:rsidRDefault="000A5EAC" w:rsidP="000A5EAC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</w:tr>
      <w:tr w:rsidR="000A5EAC" w:rsidRPr="000A5EAC" w:rsidTr="000A5EAC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0A5EAC" w:rsidP="000A5EAC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A5EA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Enero</w:t>
            </w:r>
            <w:r w:rsidR="007B500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        </w:t>
            </w:r>
            <w:r w:rsidR="00D91FEA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      </w:t>
            </w:r>
            <w:r w:rsidR="007B5003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72737C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7B5003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22,775,000.00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4F598D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264,788.00</w:t>
            </w:r>
          </w:p>
        </w:tc>
      </w:tr>
      <w:tr w:rsidR="000A5EAC" w:rsidRPr="000A5EAC" w:rsidTr="000A5EAC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0A5EAC" w:rsidP="000A5EAC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A5EA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Febrero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72737C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72737C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17,800,000.00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4F598D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207,050.40</w:t>
            </w:r>
          </w:p>
        </w:tc>
      </w:tr>
      <w:tr w:rsidR="000A5EAC" w:rsidRPr="000A5EAC" w:rsidTr="000A5EAC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0A5EAC" w:rsidP="000A5EAC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A5EA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Marzo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72737C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72737C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23,300,000.00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4F598D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270,942.40</w:t>
            </w:r>
          </w:p>
        </w:tc>
      </w:tr>
      <w:tr w:rsidR="000A5EAC" w:rsidRPr="000A5EAC" w:rsidTr="000A5EAC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0A5EAC" w:rsidP="000A5EAC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A5EA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Abril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72737C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72737C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13,000,000.00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4F598D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151,223.20</w:t>
            </w:r>
          </w:p>
        </w:tc>
      </w:tr>
      <w:tr w:rsidR="000A5EAC" w:rsidRPr="000A5EAC" w:rsidTr="000A5EAC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0A5EAC" w:rsidP="000A5EAC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A5EA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Mayo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72737C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72737C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22,125,000.00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4F598D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257,238.80</w:t>
            </w:r>
          </w:p>
        </w:tc>
      </w:tr>
      <w:tr w:rsidR="000A5EAC" w:rsidRPr="000A5EAC" w:rsidTr="000A5EAC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0A5EAC" w:rsidP="000A5EAC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A5EA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Junio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72737C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72737C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36,415,000.00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4F598D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423,048.80</w:t>
            </w:r>
          </w:p>
        </w:tc>
      </w:tr>
      <w:tr w:rsidR="000A5EAC" w:rsidRPr="000A5EAC" w:rsidTr="000A5EAC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0A5EAC" w:rsidP="000A5EAC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A5EA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Julio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72737C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72737C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53,300,000.00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4F598D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618,878.01</w:t>
            </w:r>
          </w:p>
        </w:tc>
      </w:tr>
      <w:tr w:rsidR="000A5EAC" w:rsidRPr="000A5EAC" w:rsidTr="000A5EAC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0A5EAC" w:rsidP="000A5EAC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A5EA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Agosto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72737C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72737C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19,750,000.00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4F598D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229,587.60</w:t>
            </w:r>
          </w:p>
        </w:tc>
      </w:tr>
      <w:tr w:rsidR="000A5EAC" w:rsidRPr="000A5EAC" w:rsidTr="000A5EAC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0A5EAC" w:rsidP="000A5EAC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A5EA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Septiembre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72737C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72737C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24,250,000.00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4F598D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281,842.80</w:t>
            </w:r>
          </w:p>
        </w:tc>
      </w:tr>
      <w:tr w:rsidR="000A5EAC" w:rsidRPr="000A5EAC" w:rsidTr="000A5EAC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0A5EAC" w:rsidP="000A5EAC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A5EA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Octubre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72737C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72737C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12,450,000.00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4F598D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114,806.40</w:t>
            </w:r>
          </w:p>
        </w:tc>
      </w:tr>
      <w:tr w:rsidR="000A5EAC" w:rsidRPr="000A5EAC" w:rsidTr="000A5EAC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0A5EAC" w:rsidP="000A5EAC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A5EA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Noviembre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72737C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72737C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24,516,500.00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4F598D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284,940.65</w:t>
            </w:r>
          </w:p>
        </w:tc>
      </w:tr>
      <w:tr w:rsidR="000A5EAC" w:rsidRPr="000A5EAC" w:rsidTr="000A5EAC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0A5EAC" w:rsidP="000A5EAC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A5EA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Diciembre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72737C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4F598D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24,516,000.00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AC" w:rsidRPr="000A5EAC" w:rsidRDefault="004F598D" w:rsidP="007273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284,940.65</w:t>
            </w:r>
          </w:p>
        </w:tc>
      </w:tr>
      <w:tr w:rsidR="000A5EAC" w:rsidRPr="000A5EAC" w:rsidTr="000A5EAC">
        <w:trPr>
          <w:trHeight w:val="63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A5EAC" w:rsidRPr="000A5EAC" w:rsidRDefault="000A5EAC" w:rsidP="000A5EAC">
            <w:p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 w:rsidRPr="000A5EAC">
              <w:rPr>
                <w:b/>
                <w:bCs/>
                <w:color w:val="000000"/>
                <w:sz w:val="16"/>
                <w:szCs w:val="16"/>
                <w:lang w:val="es-ES"/>
              </w:rPr>
              <w:t>Total RD$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A5EAC" w:rsidRPr="000A5EAC" w:rsidRDefault="0072737C" w:rsidP="00727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>715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A5EAC" w:rsidRPr="000A5EAC" w:rsidRDefault="004F598D" w:rsidP="00727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>294,198,000.00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A5EAC" w:rsidRPr="000A5EAC" w:rsidRDefault="004F598D" w:rsidP="00727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>3,419,287.73</w:t>
            </w:r>
          </w:p>
        </w:tc>
      </w:tr>
    </w:tbl>
    <w:p w:rsidR="00091105" w:rsidRDefault="00091105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312472" w:rsidRDefault="00312472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D044FB" w:rsidRDefault="00D044FB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D044FB" w:rsidRDefault="00D044FB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D044FB" w:rsidRDefault="00D044FB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312472" w:rsidRPr="00567612" w:rsidRDefault="00DA1AAB" w:rsidP="009C6647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Fueron registradas siete (07</w:t>
      </w:r>
      <w:r w:rsidR="00567612">
        <w:rPr>
          <w:sz w:val="24"/>
          <w:szCs w:val="24"/>
          <w:lang w:val="es-ES"/>
        </w:rPr>
        <w:t>) firmas de Auditores y Auditor independiente para que las compañías aseguradoras realicen sus auditorías con firmas de auditores registrados en esta Superintendencia de Seguros en correspondencia a los requisitos establecidos.</w:t>
      </w:r>
    </w:p>
    <w:p w:rsidR="00312472" w:rsidRDefault="00312472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312472" w:rsidRDefault="00567612" w:rsidP="009C6647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Actuando como Amigable Componedor en el proceso de conciliación y arbitraje, fueron </w:t>
      </w:r>
      <w:r w:rsidR="00DA1AAB">
        <w:rPr>
          <w:sz w:val="24"/>
          <w:szCs w:val="24"/>
          <w:lang w:val="es-ES"/>
        </w:rPr>
        <w:t>conocidas setenta y nueve (79</w:t>
      </w:r>
      <w:r w:rsidR="001A34BF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 xml:space="preserve"> conciliaciones entre las diferentes compañías de seguros y sus asegurados y se red</w:t>
      </w:r>
      <w:r w:rsidR="00BA0F1B">
        <w:rPr>
          <w:sz w:val="24"/>
          <w:szCs w:val="24"/>
          <w:lang w:val="es-ES"/>
        </w:rPr>
        <w:t>actar</w:t>
      </w:r>
      <w:r w:rsidR="00DA1AAB">
        <w:rPr>
          <w:sz w:val="24"/>
          <w:szCs w:val="24"/>
          <w:lang w:val="es-ES"/>
        </w:rPr>
        <w:t>on cuarenta y tres (43</w:t>
      </w:r>
      <w:r w:rsidR="00A12C9A">
        <w:rPr>
          <w:sz w:val="24"/>
          <w:szCs w:val="24"/>
          <w:lang w:val="es-ES"/>
        </w:rPr>
        <w:t>)</w:t>
      </w:r>
      <w:r w:rsidR="00BA0F1B">
        <w:rPr>
          <w:sz w:val="24"/>
          <w:szCs w:val="24"/>
          <w:lang w:val="es-ES"/>
        </w:rPr>
        <w:t xml:space="preserve"> Actas de no Acuerdos, ya que las partes no pudieron conciliar y así permitir que los asegurados puedan llevar sus reclamaciones a los tribunales correspondientes.</w:t>
      </w:r>
    </w:p>
    <w:p w:rsidR="00312472" w:rsidRDefault="00312472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091105" w:rsidRPr="00567612" w:rsidRDefault="00091105" w:rsidP="00091105">
      <w:pPr>
        <w:spacing w:line="360" w:lineRule="auto"/>
        <w:jc w:val="both"/>
        <w:rPr>
          <w:sz w:val="24"/>
          <w:szCs w:val="24"/>
          <w:lang w:val="es-ES"/>
        </w:rPr>
      </w:pPr>
      <w:r w:rsidRPr="00567612">
        <w:rPr>
          <w:sz w:val="24"/>
          <w:szCs w:val="24"/>
          <w:lang w:val="es-ES"/>
        </w:rPr>
        <w:t>Se encuentran depositados en la Dirección Financiera de esta Superintendencia de seguros, los certificados financieros, para avalar las licencias de los Corredores y Ajustadores en sus diferentes denominaciones según detallamos a continuación:</w:t>
      </w:r>
    </w:p>
    <w:p w:rsidR="00091105" w:rsidRPr="00567612" w:rsidRDefault="00091105" w:rsidP="00091105">
      <w:pPr>
        <w:spacing w:line="360" w:lineRule="auto"/>
        <w:jc w:val="both"/>
        <w:rPr>
          <w:sz w:val="24"/>
          <w:szCs w:val="24"/>
          <w:lang w:val="es-ES"/>
        </w:rPr>
      </w:pPr>
    </w:p>
    <w:p w:rsidR="00091105" w:rsidRPr="00567612" w:rsidRDefault="00964089" w:rsidP="00091105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19</w:t>
      </w:r>
      <w:r w:rsidR="0020104E">
        <w:rPr>
          <w:sz w:val="24"/>
          <w:szCs w:val="24"/>
          <w:lang w:val="es-ES"/>
        </w:rPr>
        <w:t xml:space="preserve">   </w:t>
      </w:r>
      <w:r w:rsidR="008C7317">
        <w:rPr>
          <w:sz w:val="24"/>
          <w:szCs w:val="24"/>
          <w:lang w:val="es-ES"/>
        </w:rPr>
        <w:t>Corredores de seguros persona moral</w:t>
      </w:r>
      <w:r>
        <w:rPr>
          <w:sz w:val="24"/>
          <w:szCs w:val="24"/>
          <w:lang w:val="es-ES"/>
        </w:rPr>
        <w:t>.</w:t>
      </w:r>
      <w:r w:rsidR="0020104E">
        <w:rPr>
          <w:sz w:val="24"/>
          <w:szCs w:val="24"/>
          <w:lang w:val="es-ES"/>
        </w:rPr>
        <w:t xml:space="preserve"> </w:t>
      </w:r>
    </w:p>
    <w:p w:rsidR="00091105" w:rsidRPr="00567612" w:rsidRDefault="00C92A91" w:rsidP="00091105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42</w:t>
      </w:r>
      <w:r w:rsidR="00091105" w:rsidRPr="00567612">
        <w:rPr>
          <w:sz w:val="24"/>
          <w:szCs w:val="24"/>
          <w:lang w:val="es-ES"/>
        </w:rPr>
        <w:t xml:space="preserve">   Co</w:t>
      </w:r>
      <w:r w:rsidR="008C7317">
        <w:rPr>
          <w:sz w:val="24"/>
          <w:szCs w:val="24"/>
          <w:lang w:val="es-ES"/>
        </w:rPr>
        <w:t xml:space="preserve">rredores de Seguros Persona </w:t>
      </w:r>
      <w:r w:rsidR="00426DAF">
        <w:rPr>
          <w:sz w:val="24"/>
          <w:szCs w:val="24"/>
          <w:lang w:val="es-ES"/>
        </w:rPr>
        <w:t>física</w:t>
      </w:r>
      <w:r w:rsidR="00964089">
        <w:rPr>
          <w:sz w:val="24"/>
          <w:szCs w:val="24"/>
          <w:lang w:val="es-ES"/>
        </w:rPr>
        <w:t>.</w:t>
      </w:r>
    </w:p>
    <w:p w:rsidR="00091105" w:rsidRPr="00567612" w:rsidRDefault="00C92A91" w:rsidP="00091105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01</w:t>
      </w:r>
      <w:r w:rsidR="00091105" w:rsidRPr="00567612">
        <w:rPr>
          <w:sz w:val="24"/>
          <w:szCs w:val="24"/>
          <w:lang w:val="es-ES"/>
        </w:rPr>
        <w:t xml:space="preserve">   </w:t>
      </w:r>
      <w:r w:rsidR="00964089">
        <w:rPr>
          <w:sz w:val="24"/>
          <w:szCs w:val="24"/>
          <w:lang w:val="es-ES"/>
        </w:rPr>
        <w:t>Ajustador</w:t>
      </w:r>
      <w:r w:rsidR="008C7317">
        <w:rPr>
          <w:sz w:val="24"/>
          <w:szCs w:val="24"/>
          <w:lang w:val="es-ES"/>
        </w:rPr>
        <w:t xml:space="preserve"> de Seguros Persona moral</w:t>
      </w:r>
      <w:r w:rsidR="00964089">
        <w:rPr>
          <w:sz w:val="24"/>
          <w:szCs w:val="24"/>
          <w:lang w:val="es-ES"/>
        </w:rPr>
        <w:t>.</w:t>
      </w:r>
    </w:p>
    <w:p w:rsidR="00091105" w:rsidRPr="00567612" w:rsidRDefault="008C7317" w:rsidP="00091105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01</w:t>
      </w:r>
      <w:r w:rsidR="00091105" w:rsidRPr="00567612">
        <w:rPr>
          <w:sz w:val="24"/>
          <w:szCs w:val="24"/>
          <w:lang w:val="es-ES"/>
        </w:rPr>
        <w:t xml:space="preserve">   Aju</w:t>
      </w:r>
      <w:r w:rsidR="00964089">
        <w:rPr>
          <w:sz w:val="24"/>
          <w:szCs w:val="24"/>
          <w:lang w:val="es-ES"/>
        </w:rPr>
        <w:t>stador</w:t>
      </w:r>
      <w:r>
        <w:rPr>
          <w:sz w:val="24"/>
          <w:szCs w:val="24"/>
          <w:lang w:val="es-ES"/>
        </w:rPr>
        <w:t xml:space="preserve"> de Seguros Persona </w:t>
      </w:r>
      <w:r w:rsidR="00426DAF">
        <w:rPr>
          <w:sz w:val="24"/>
          <w:szCs w:val="24"/>
          <w:lang w:val="es-ES"/>
        </w:rPr>
        <w:t>física</w:t>
      </w:r>
      <w:r w:rsidR="00964089">
        <w:rPr>
          <w:sz w:val="24"/>
          <w:szCs w:val="24"/>
          <w:lang w:val="es-ES"/>
        </w:rPr>
        <w:t>.</w:t>
      </w:r>
    </w:p>
    <w:p w:rsidR="00091105" w:rsidRPr="00567612" w:rsidRDefault="00091105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2A09E3" w:rsidRDefault="002A09E3" w:rsidP="002A09E3">
      <w:pPr>
        <w:spacing w:line="360" w:lineRule="auto"/>
        <w:jc w:val="both"/>
        <w:rPr>
          <w:sz w:val="24"/>
          <w:szCs w:val="24"/>
          <w:lang w:eastAsia="es-ES_tradnl"/>
        </w:rPr>
      </w:pPr>
      <w:r>
        <w:rPr>
          <w:sz w:val="24"/>
          <w:szCs w:val="24"/>
          <w:lang w:eastAsia="es-ES_tradnl"/>
        </w:rPr>
        <w:t>Procedimos al reg</w:t>
      </w:r>
      <w:r w:rsidR="008C7317">
        <w:rPr>
          <w:sz w:val="24"/>
          <w:szCs w:val="24"/>
          <w:lang w:eastAsia="es-ES_tradnl"/>
        </w:rPr>
        <w:t>i</w:t>
      </w:r>
      <w:r w:rsidR="003F1352">
        <w:rPr>
          <w:sz w:val="24"/>
          <w:szCs w:val="24"/>
          <w:lang w:eastAsia="es-ES_tradnl"/>
        </w:rPr>
        <w:t>stro y autorización de ocho   (08</w:t>
      </w:r>
      <w:r w:rsidRPr="00007A28">
        <w:rPr>
          <w:sz w:val="24"/>
          <w:szCs w:val="24"/>
          <w:lang w:eastAsia="es-ES_tradnl"/>
        </w:rPr>
        <w:t>)</w:t>
      </w:r>
      <w:r>
        <w:rPr>
          <w:b/>
          <w:sz w:val="24"/>
          <w:szCs w:val="24"/>
          <w:lang w:eastAsia="es-ES_tradnl"/>
        </w:rPr>
        <w:t xml:space="preserve"> </w:t>
      </w:r>
      <w:r>
        <w:rPr>
          <w:sz w:val="24"/>
          <w:szCs w:val="24"/>
          <w:lang w:eastAsia="es-ES_tradnl"/>
        </w:rPr>
        <w:t>reaseguradores aceptados no radicados, con el objetivo de realizar operaciones de reaseguros con las compañías entre las que citaremos las siguientes:</w:t>
      </w:r>
    </w:p>
    <w:p w:rsidR="002A09E3" w:rsidRDefault="002A09E3" w:rsidP="002A09E3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es-ES_tradnl"/>
        </w:rPr>
      </w:pPr>
    </w:p>
    <w:p w:rsidR="002A09E3" w:rsidRPr="00D34882" w:rsidRDefault="002A09E3" w:rsidP="005C4FD0">
      <w:pPr>
        <w:pStyle w:val="NoSpacing"/>
        <w:jc w:val="both"/>
        <w:outlineLvl w:val="0"/>
        <w:rPr>
          <w:rFonts w:ascii="Times New Roman" w:hAnsi="Times New Roman"/>
          <w:b/>
          <w:sz w:val="24"/>
          <w:szCs w:val="24"/>
          <w:lang w:eastAsia="es-ES_tradnl"/>
        </w:rPr>
      </w:pPr>
      <w:r>
        <w:rPr>
          <w:rFonts w:ascii="Times New Roman" w:hAnsi="Times New Roman"/>
          <w:b/>
          <w:sz w:val="24"/>
          <w:szCs w:val="24"/>
          <w:lang w:eastAsia="es-ES_tradnl"/>
        </w:rPr>
        <w:t xml:space="preserve">Listado del Registro de </w:t>
      </w:r>
      <w:r w:rsidR="00D559B0">
        <w:rPr>
          <w:rFonts w:ascii="Times New Roman" w:hAnsi="Times New Roman"/>
          <w:b/>
          <w:sz w:val="24"/>
          <w:szCs w:val="24"/>
          <w:lang w:eastAsia="es-ES_tradnl"/>
        </w:rPr>
        <w:t xml:space="preserve">nuevos </w:t>
      </w:r>
      <w:r>
        <w:rPr>
          <w:rFonts w:ascii="Times New Roman" w:hAnsi="Times New Roman"/>
          <w:b/>
          <w:sz w:val="24"/>
          <w:szCs w:val="24"/>
          <w:lang w:eastAsia="es-ES_tradnl"/>
        </w:rPr>
        <w:t>Reaseguradores Aceptados no Radicados 201</w:t>
      </w:r>
      <w:r w:rsidR="00D559B0">
        <w:rPr>
          <w:rFonts w:ascii="Times New Roman" w:hAnsi="Times New Roman"/>
          <w:b/>
          <w:sz w:val="24"/>
          <w:szCs w:val="24"/>
          <w:lang w:eastAsia="es-ES_tradnl"/>
        </w:rPr>
        <w:t>8</w:t>
      </w:r>
      <w:r>
        <w:rPr>
          <w:rFonts w:ascii="Times New Roman" w:hAnsi="Times New Roman"/>
          <w:b/>
          <w:sz w:val="24"/>
          <w:szCs w:val="24"/>
          <w:lang w:eastAsia="es-ES_tradnl"/>
        </w:rPr>
        <w:t>.</w:t>
      </w:r>
    </w:p>
    <w:p w:rsidR="00A22036" w:rsidRPr="00A22036" w:rsidRDefault="00A22036" w:rsidP="00A22036">
      <w:pPr>
        <w:rPr>
          <w:sz w:val="24"/>
          <w:szCs w:val="24"/>
          <w:lang w:val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4529"/>
        <w:gridCol w:w="1852"/>
      </w:tblGrid>
      <w:tr w:rsidR="00A22036" w:rsidRPr="00A22036" w:rsidTr="00A220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36" w:rsidRPr="00A22036" w:rsidRDefault="00A22036" w:rsidP="00A22036">
            <w:pPr>
              <w:rPr>
                <w:sz w:val="1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36" w:rsidRPr="00A22036" w:rsidRDefault="00A22036" w:rsidP="00A22036">
            <w:pPr>
              <w:spacing w:after="200" w:line="0" w:lineRule="atLeast"/>
              <w:jc w:val="center"/>
              <w:rPr>
                <w:sz w:val="24"/>
                <w:szCs w:val="24"/>
                <w:lang w:val="es-ES"/>
              </w:rPr>
            </w:pPr>
            <w:r w:rsidRPr="00A22036">
              <w:rPr>
                <w:rFonts w:ascii="Bookman Old Style" w:hAnsi="Bookman Old Style"/>
                <w:b/>
                <w:bCs/>
                <w:color w:val="000000"/>
                <w:lang w:val="es-ES"/>
              </w:rPr>
              <w:t>REASEGURADORAS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36" w:rsidRPr="00A22036" w:rsidRDefault="00A22036" w:rsidP="00A22036">
            <w:pPr>
              <w:spacing w:after="200" w:line="0" w:lineRule="atLeast"/>
              <w:jc w:val="center"/>
              <w:rPr>
                <w:sz w:val="24"/>
                <w:szCs w:val="24"/>
                <w:lang w:val="es-ES"/>
              </w:rPr>
            </w:pPr>
            <w:r w:rsidRPr="00A22036">
              <w:rPr>
                <w:rFonts w:ascii="Bookman Old Style" w:hAnsi="Bookman Old Style"/>
                <w:b/>
                <w:bCs/>
                <w:color w:val="000000"/>
                <w:lang w:val="es-ES"/>
              </w:rPr>
              <w:t>NACIONALIDAD</w:t>
            </w:r>
          </w:p>
        </w:tc>
      </w:tr>
      <w:tr w:rsidR="00A22036" w:rsidRPr="00A22036" w:rsidTr="00A220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36" w:rsidRPr="00A22036" w:rsidRDefault="00A22036" w:rsidP="00A22036">
            <w:pPr>
              <w:spacing w:after="200" w:line="0" w:lineRule="atLeast"/>
              <w:jc w:val="both"/>
              <w:rPr>
                <w:sz w:val="24"/>
                <w:szCs w:val="24"/>
                <w:lang w:val="es-ES"/>
              </w:rPr>
            </w:pPr>
            <w:r w:rsidRPr="00A22036">
              <w:rPr>
                <w:rFonts w:ascii="Bookman Old Style" w:hAnsi="Bookman Old Style"/>
                <w:color w:val="000000"/>
                <w:lang w:val="es-E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36" w:rsidRPr="00A22036" w:rsidRDefault="00A22036" w:rsidP="00A22036">
            <w:pPr>
              <w:spacing w:after="200" w:line="0" w:lineRule="atLeast"/>
              <w:jc w:val="both"/>
              <w:rPr>
                <w:sz w:val="24"/>
                <w:szCs w:val="24"/>
                <w:lang w:val="en-US"/>
              </w:rPr>
            </w:pPr>
            <w:r w:rsidRPr="00A22036">
              <w:rPr>
                <w:rFonts w:ascii="Bookman Old Style" w:hAnsi="Bookman Old Style"/>
                <w:b/>
                <w:bCs/>
                <w:i/>
                <w:iCs/>
                <w:color w:val="000000"/>
                <w:lang w:val="en-US"/>
              </w:rPr>
              <w:t>Barents Re Reinsurance Company, Inc.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36" w:rsidRPr="00A22036" w:rsidRDefault="00A22036" w:rsidP="00A22036">
            <w:pPr>
              <w:spacing w:after="200" w:line="0" w:lineRule="atLeast"/>
              <w:jc w:val="both"/>
              <w:rPr>
                <w:sz w:val="24"/>
                <w:szCs w:val="24"/>
                <w:lang w:val="es-ES"/>
              </w:rPr>
            </w:pPr>
            <w:r w:rsidRPr="00A22036">
              <w:rPr>
                <w:rFonts w:ascii="Bookman Old Style" w:hAnsi="Bookman Old Style"/>
                <w:color w:val="000000"/>
                <w:lang w:val="es-ES"/>
              </w:rPr>
              <w:t>Luxemburgo</w:t>
            </w:r>
          </w:p>
        </w:tc>
      </w:tr>
      <w:tr w:rsidR="00A22036" w:rsidRPr="00A22036" w:rsidTr="00A220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36" w:rsidRPr="00A22036" w:rsidRDefault="00A22036" w:rsidP="00A22036">
            <w:pPr>
              <w:spacing w:after="200" w:line="0" w:lineRule="atLeast"/>
              <w:jc w:val="both"/>
              <w:rPr>
                <w:sz w:val="24"/>
                <w:szCs w:val="24"/>
                <w:lang w:val="es-ES"/>
              </w:rPr>
            </w:pPr>
            <w:r w:rsidRPr="00A22036">
              <w:rPr>
                <w:rFonts w:ascii="Bookman Old Style" w:hAnsi="Bookman Old Style"/>
                <w:color w:val="000000"/>
                <w:lang w:val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36" w:rsidRPr="00A22036" w:rsidRDefault="00A22036" w:rsidP="00A22036">
            <w:pPr>
              <w:spacing w:after="200" w:line="0" w:lineRule="atLeast"/>
              <w:jc w:val="both"/>
              <w:rPr>
                <w:sz w:val="24"/>
                <w:szCs w:val="24"/>
                <w:lang w:val="es-ES"/>
              </w:rPr>
            </w:pPr>
            <w:proofErr w:type="spellStart"/>
            <w:r w:rsidRPr="00A22036">
              <w:rPr>
                <w:rFonts w:ascii="Bookman Old Style" w:hAnsi="Bookman Old Style"/>
                <w:b/>
                <w:bCs/>
                <w:i/>
                <w:iCs/>
                <w:color w:val="000000"/>
                <w:lang w:val="es-ES"/>
              </w:rPr>
              <w:t>Bupa</w:t>
            </w:r>
            <w:proofErr w:type="spellEnd"/>
            <w:r w:rsidRPr="00A22036">
              <w:rPr>
                <w:rFonts w:ascii="Bookman Old Style" w:hAnsi="Bookman Old Style"/>
                <w:b/>
                <w:bCs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Pr="00A22036">
              <w:rPr>
                <w:rFonts w:ascii="Bookman Old Style" w:hAnsi="Bookman Old Style"/>
                <w:b/>
                <w:bCs/>
                <w:i/>
                <w:iCs/>
                <w:color w:val="000000"/>
                <w:lang w:val="es-ES"/>
              </w:rPr>
              <w:t>Insurance</w:t>
            </w:r>
            <w:proofErr w:type="spellEnd"/>
            <w:r w:rsidRPr="00A22036">
              <w:rPr>
                <w:rFonts w:ascii="Bookman Old Style" w:hAnsi="Bookman Old Style"/>
                <w:b/>
                <w:bCs/>
                <w:i/>
                <w:iCs/>
                <w:color w:val="000000"/>
                <w:lang w:val="es-ES"/>
              </w:rPr>
              <w:t xml:space="preserve"> Company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36" w:rsidRPr="00A22036" w:rsidRDefault="00A22036" w:rsidP="00A22036">
            <w:pPr>
              <w:spacing w:after="200" w:line="0" w:lineRule="atLeast"/>
              <w:jc w:val="both"/>
              <w:rPr>
                <w:sz w:val="24"/>
                <w:szCs w:val="24"/>
                <w:lang w:val="es-ES"/>
              </w:rPr>
            </w:pPr>
            <w:r w:rsidRPr="00A22036">
              <w:rPr>
                <w:rFonts w:ascii="Bookman Old Style" w:hAnsi="Bookman Old Style"/>
                <w:color w:val="000000"/>
                <w:lang w:val="es-ES"/>
              </w:rPr>
              <w:t>Florida</w:t>
            </w:r>
          </w:p>
        </w:tc>
      </w:tr>
      <w:tr w:rsidR="00A22036" w:rsidRPr="00A22036" w:rsidTr="00A220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36" w:rsidRPr="00A22036" w:rsidRDefault="00A22036" w:rsidP="00A22036">
            <w:pPr>
              <w:spacing w:after="200" w:line="0" w:lineRule="atLeast"/>
              <w:jc w:val="both"/>
              <w:rPr>
                <w:sz w:val="24"/>
                <w:szCs w:val="24"/>
                <w:lang w:val="es-ES"/>
              </w:rPr>
            </w:pPr>
            <w:r w:rsidRPr="00A22036">
              <w:rPr>
                <w:rFonts w:ascii="Bookman Old Style" w:hAnsi="Bookman Old Style"/>
                <w:color w:val="000000"/>
                <w:lang w:val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36" w:rsidRPr="00A22036" w:rsidRDefault="00A22036" w:rsidP="00A22036">
            <w:pPr>
              <w:spacing w:after="200" w:line="0" w:lineRule="atLeast"/>
              <w:jc w:val="both"/>
              <w:rPr>
                <w:sz w:val="24"/>
                <w:szCs w:val="24"/>
                <w:lang w:val="es-ES"/>
              </w:rPr>
            </w:pPr>
            <w:proofErr w:type="spellStart"/>
            <w:r w:rsidRPr="00A22036">
              <w:rPr>
                <w:rFonts w:ascii="Bookman Old Style" w:hAnsi="Bookman Old Style"/>
                <w:b/>
                <w:bCs/>
                <w:i/>
                <w:iCs/>
                <w:color w:val="000000"/>
                <w:lang w:val="es-ES"/>
              </w:rPr>
              <w:t>Equator</w:t>
            </w:r>
            <w:proofErr w:type="spellEnd"/>
            <w:r w:rsidRPr="00A22036">
              <w:rPr>
                <w:rFonts w:ascii="Bookman Old Style" w:hAnsi="Bookman Old Style"/>
                <w:b/>
                <w:bCs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Pr="00A22036">
              <w:rPr>
                <w:rFonts w:ascii="Bookman Old Style" w:hAnsi="Bookman Old Style"/>
                <w:b/>
                <w:bCs/>
                <w:i/>
                <w:iCs/>
                <w:color w:val="000000"/>
                <w:lang w:val="es-ES"/>
              </w:rPr>
              <w:t>Reinsurances</w:t>
            </w:r>
            <w:proofErr w:type="spellEnd"/>
            <w:r w:rsidRPr="00A22036">
              <w:rPr>
                <w:rFonts w:ascii="Bookman Old Style" w:hAnsi="Bookman Old Style"/>
                <w:b/>
                <w:bCs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Pr="00A22036">
              <w:rPr>
                <w:rFonts w:ascii="Bookman Old Style" w:hAnsi="Bookman Old Style"/>
                <w:b/>
                <w:bCs/>
                <w:i/>
                <w:iCs/>
                <w:color w:val="000000"/>
                <w:lang w:val="es-ES"/>
              </w:rPr>
              <w:t>Limited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36" w:rsidRPr="00A22036" w:rsidRDefault="00A22036" w:rsidP="00A22036">
            <w:pPr>
              <w:spacing w:after="200" w:line="0" w:lineRule="atLeast"/>
              <w:jc w:val="both"/>
              <w:rPr>
                <w:sz w:val="24"/>
                <w:szCs w:val="24"/>
                <w:lang w:val="es-ES"/>
              </w:rPr>
            </w:pPr>
            <w:r w:rsidRPr="00A22036">
              <w:rPr>
                <w:rFonts w:ascii="Bookman Old Style" w:hAnsi="Bookman Old Style"/>
                <w:color w:val="000000"/>
                <w:lang w:val="es-ES"/>
              </w:rPr>
              <w:t>Bermuda</w:t>
            </w:r>
          </w:p>
        </w:tc>
      </w:tr>
      <w:tr w:rsidR="00A22036" w:rsidRPr="00A22036" w:rsidTr="00A220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36" w:rsidRPr="00A22036" w:rsidRDefault="00A22036" w:rsidP="00A22036">
            <w:pPr>
              <w:spacing w:after="200" w:line="0" w:lineRule="atLeast"/>
              <w:jc w:val="both"/>
              <w:rPr>
                <w:sz w:val="24"/>
                <w:szCs w:val="24"/>
                <w:lang w:val="es-ES"/>
              </w:rPr>
            </w:pPr>
            <w:r w:rsidRPr="00A22036">
              <w:rPr>
                <w:rFonts w:ascii="Bookman Old Style" w:hAnsi="Bookman Old Style"/>
                <w:color w:val="000000"/>
                <w:lang w:val="es-E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36" w:rsidRPr="00A22036" w:rsidRDefault="00A22036" w:rsidP="00A22036">
            <w:pPr>
              <w:spacing w:after="200" w:line="0" w:lineRule="atLeast"/>
              <w:jc w:val="both"/>
              <w:rPr>
                <w:sz w:val="24"/>
                <w:szCs w:val="24"/>
                <w:lang w:val="es-ES"/>
              </w:rPr>
            </w:pPr>
            <w:r w:rsidRPr="00A22036">
              <w:rPr>
                <w:rFonts w:ascii="Bookman Old Style" w:hAnsi="Bookman Old Style"/>
                <w:b/>
                <w:bCs/>
                <w:i/>
                <w:iCs/>
                <w:color w:val="000000"/>
                <w:lang w:val="es-ES"/>
              </w:rPr>
              <w:t xml:space="preserve">QBE </w:t>
            </w:r>
            <w:proofErr w:type="spellStart"/>
            <w:r w:rsidRPr="00A22036">
              <w:rPr>
                <w:rFonts w:ascii="Bookman Old Style" w:hAnsi="Bookman Old Style"/>
                <w:b/>
                <w:bCs/>
                <w:i/>
                <w:iCs/>
                <w:color w:val="000000"/>
                <w:lang w:val="es-ES"/>
              </w:rPr>
              <w:t>Europe</w:t>
            </w:r>
            <w:proofErr w:type="spellEnd"/>
            <w:r w:rsidRPr="00A22036">
              <w:rPr>
                <w:rFonts w:ascii="Bookman Old Style" w:hAnsi="Bookman Old Style"/>
                <w:b/>
                <w:bCs/>
                <w:i/>
                <w:iCs/>
                <w:color w:val="000000"/>
                <w:lang w:val="es-ES"/>
              </w:rPr>
              <w:t xml:space="preserve"> SA/NV (QBE </w:t>
            </w:r>
            <w:proofErr w:type="spellStart"/>
            <w:r w:rsidRPr="00A22036">
              <w:rPr>
                <w:rFonts w:ascii="Bookman Old Style" w:hAnsi="Bookman Old Style"/>
                <w:b/>
                <w:bCs/>
                <w:i/>
                <w:iCs/>
                <w:color w:val="000000"/>
                <w:lang w:val="es-ES"/>
              </w:rPr>
              <w:t>Europe</w:t>
            </w:r>
            <w:proofErr w:type="spellEnd"/>
            <w:r w:rsidRPr="00A22036">
              <w:rPr>
                <w:rFonts w:ascii="Bookman Old Style" w:hAnsi="Bookman Old Style"/>
                <w:b/>
                <w:bCs/>
                <w:i/>
                <w:iCs/>
                <w:color w:val="000000"/>
                <w:lang w:val="es-E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36" w:rsidRPr="00A22036" w:rsidRDefault="00A22036" w:rsidP="00A22036">
            <w:pPr>
              <w:spacing w:after="200" w:line="0" w:lineRule="atLeast"/>
              <w:jc w:val="both"/>
              <w:rPr>
                <w:sz w:val="24"/>
                <w:szCs w:val="24"/>
                <w:lang w:val="es-ES"/>
              </w:rPr>
            </w:pPr>
            <w:proofErr w:type="spellStart"/>
            <w:r w:rsidRPr="00A22036">
              <w:rPr>
                <w:rFonts w:ascii="Bookman Old Style" w:hAnsi="Bookman Old Style"/>
                <w:color w:val="000000"/>
                <w:lang w:val="es-ES"/>
              </w:rPr>
              <w:t>Belgica</w:t>
            </w:r>
            <w:proofErr w:type="spellEnd"/>
          </w:p>
        </w:tc>
      </w:tr>
      <w:tr w:rsidR="00A22036" w:rsidRPr="00A22036" w:rsidTr="00A220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36" w:rsidRPr="00A22036" w:rsidRDefault="00A22036" w:rsidP="00A22036">
            <w:pPr>
              <w:spacing w:after="200" w:line="0" w:lineRule="atLeast"/>
              <w:jc w:val="both"/>
              <w:rPr>
                <w:sz w:val="24"/>
                <w:szCs w:val="24"/>
                <w:lang w:val="es-ES"/>
              </w:rPr>
            </w:pPr>
            <w:r w:rsidRPr="00A22036">
              <w:rPr>
                <w:rFonts w:ascii="Bookman Old Style" w:hAnsi="Bookman Old Style"/>
                <w:color w:val="000000"/>
                <w:lang w:val="es-E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36" w:rsidRPr="00A22036" w:rsidRDefault="00A22036" w:rsidP="00A22036">
            <w:pPr>
              <w:spacing w:after="200" w:line="0" w:lineRule="atLeast"/>
              <w:jc w:val="both"/>
              <w:rPr>
                <w:sz w:val="24"/>
                <w:szCs w:val="24"/>
                <w:lang w:val="es-ES"/>
              </w:rPr>
            </w:pPr>
            <w:r w:rsidRPr="00A22036">
              <w:rPr>
                <w:rFonts w:ascii="Bookman Old Style" w:hAnsi="Bookman Old Style"/>
                <w:b/>
                <w:bCs/>
                <w:i/>
                <w:iCs/>
                <w:color w:val="000000"/>
                <w:lang w:val="es-ES"/>
              </w:rPr>
              <w:t xml:space="preserve">Reaseguradora Sura Re </w:t>
            </w:r>
            <w:proofErr w:type="spellStart"/>
            <w:r w:rsidRPr="00A22036">
              <w:rPr>
                <w:rFonts w:ascii="Bookman Old Style" w:hAnsi="Bookman Old Style"/>
                <w:b/>
                <w:bCs/>
                <w:i/>
                <w:iCs/>
                <w:color w:val="000000"/>
                <w:lang w:val="es-ES"/>
              </w:rPr>
              <w:t>Ltd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36" w:rsidRPr="00A22036" w:rsidRDefault="00A22036" w:rsidP="00A22036">
            <w:pPr>
              <w:spacing w:after="200" w:line="0" w:lineRule="atLeast"/>
              <w:jc w:val="both"/>
              <w:rPr>
                <w:sz w:val="24"/>
                <w:szCs w:val="24"/>
                <w:lang w:val="es-ES"/>
              </w:rPr>
            </w:pPr>
            <w:r w:rsidRPr="00A22036">
              <w:rPr>
                <w:rFonts w:ascii="Bookman Old Style" w:hAnsi="Bookman Old Style"/>
                <w:color w:val="000000"/>
                <w:lang w:val="es-ES"/>
              </w:rPr>
              <w:t>Bermuda</w:t>
            </w:r>
          </w:p>
        </w:tc>
      </w:tr>
      <w:tr w:rsidR="00A22036" w:rsidRPr="00A22036" w:rsidTr="00A220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36" w:rsidRPr="00A22036" w:rsidRDefault="00A22036" w:rsidP="00A22036">
            <w:pPr>
              <w:spacing w:after="200" w:line="0" w:lineRule="atLeast"/>
              <w:jc w:val="both"/>
              <w:rPr>
                <w:sz w:val="24"/>
                <w:szCs w:val="24"/>
                <w:lang w:val="es-ES"/>
              </w:rPr>
            </w:pPr>
            <w:r w:rsidRPr="00A22036">
              <w:rPr>
                <w:rFonts w:ascii="Bookman Old Style" w:hAnsi="Bookman Old Style"/>
                <w:color w:val="000000"/>
                <w:lang w:val="es-E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36" w:rsidRPr="00A22036" w:rsidRDefault="00A22036" w:rsidP="00A22036">
            <w:pPr>
              <w:spacing w:after="200" w:line="0" w:lineRule="atLeast"/>
              <w:jc w:val="both"/>
              <w:rPr>
                <w:sz w:val="24"/>
                <w:szCs w:val="24"/>
                <w:lang w:val="en-US"/>
              </w:rPr>
            </w:pPr>
            <w:r w:rsidRPr="00A22036">
              <w:rPr>
                <w:rFonts w:ascii="Bookman Old Style" w:hAnsi="Bookman Old Style"/>
                <w:b/>
                <w:bCs/>
                <w:i/>
                <w:iCs/>
                <w:color w:val="000000"/>
                <w:lang w:val="en-US"/>
              </w:rPr>
              <w:t>Sirius Bermuda Insurance Company  Ltd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36" w:rsidRPr="00A22036" w:rsidRDefault="00A22036" w:rsidP="00A22036">
            <w:pPr>
              <w:spacing w:after="200" w:line="0" w:lineRule="atLeast"/>
              <w:jc w:val="both"/>
              <w:rPr>
                <w:sz w:val="24"/>
                <w:szCs w:val="24"/>
                <w:lang w:val="es-ES"/>
              </w:rPr>
            </w:pPr>
            <w:r w:rsidRPr="00A22036">
              <w:rPr>
                <w:rFonts w:ascii="Bookman Old Style" w:hAnsi="Bookman Old Style"/>
                <w:color w:val="000000"/>
                <w:lang w:val="es-ES"/>
              </w:rPr>
              <w:t>Bermuda</w:t>
            </w:r>
          </w:p>
        </w:tc>
      </w:tr>
      <w:tr w:rsidR="00A22036" w:rsidRPr="00A22036" w:rsidTr="00A220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36" w:rsidRPr="00A22036" w:rsidRDefault="00A22036" w:rsidP="00A22036">
            <w:pPr>
              <w:spacing w:after="200" w:line="0" w:lineRule="atLeast"/>
              <w:jc w:val="both"/>
              <w:rPr>
                <w:sz w:val="24"/>
                <w:szCs w:val="24"/>
                <w:lang w:val="es-ES"/>
              </w:rPr>
            </w:pPr>
            <w:r w:rsidRPr="00A22036">
              <w:rPr>
                <w:rFonts w:ascii="Bookman Old Style" w:hAnsi="Bookman Old Style"/>
                <w:color w:val="000000"/>
                <w:lang w:val="es-E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36" w:rsidRPr="00A22036" w:rsidRDefault="00A22036" w:rsidP="00A22036">
            <w:pPr>
              <w:spacing w:after="200" w:line="0" w:lineRule="atLeast"/>
              <w:jc w:val="both"/>
              <w:rPr>
                <w:sz w:val="24"/>
                <w:szCs w:val="24"/>
                <w:lang w:val="es-ES"/>
              </w:rPr>
            </w:pPr>
            <w:r w:rsidRPr="00A22036">
              <w:rPr>
                <w:rFonts w:ascii="Bookman Old Style" w:hAnsi="Bookman Old Style"/>
                <w:b/>
                <w:bCs/>
                <w:i/>
                <w:iCs/>
                <w:color w:val="000000"/>
                <w:lang w:val="es-ES"/>
              </w:rPr>
              <w:t>Vivir Compañía de Seguros, s.a.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36" w:rsidRPr="00A22036" w:rsidRDefault="00A22036" w:rsidP="00A22036">
            <w:pPr>
              <w:spacing w:after="200" w:line="0" w:lineRule="atLeast"/>
              <w:jc w:val="both"/>
              <w:rPr>
                <w:sz w:val="24"/>
                <w:szCs w:val="24"/>
                <w:lang w:val="es-ES"/>
              </w:rPr>
            </w:pPr>
            <w:r w:rsidRPr="00A22036">
              <w:rPr>
                <w:rFonts w:ascii="Bookman Old Style" w:hAnsi="Bookman Old Style"/>
                <w:color w:val="000000"/>
                <w:lang w:val="es-ES"/>
              </w:rPr>
              <w:t>Panamá</w:t>
            </w:r>
          </w:p>
        </w:tc>
      </w:tr>
    </w:tbl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D559B0" w:rsidRDefault="00D559B0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D044FB" w:rsidRDefault="00D044FB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D044FB" w:rsidRDefault="00D044FB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D044FB" w:rsidRDefault="00D044FB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D044FB" w:rsidRDefault="00D044FB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D044FB" w:rsidRDefault="00D044FB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6A4F4C" w:rsidRDefault="006A4F4C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45442B">
        <w:rPr>
          <w:sz w:val="24"/>
          <w:szCs w:val="24"/>
          <w:lang w:val="es-ES" w:eastAsia="es-ES_tradnl"/>
        </w:rPr>
        <w:t xml:space="preserve">Se recibieron y analizaron los </w:t>
      </w:r>
      <w:r>
        <w:rPr>
          <w:sz w:val="24"/>
          <w:szCs w:val="24"/>
          <w:lang w:val="es-ES" w:eastAsia="es-ES_tradnl"/>
        </w:rPr>
        <w:t>contratos automáticos de reaseguros proporcionales y no proporcio</w:t>
      </w:r>
      <w:r w:rsidR="007A4ADC">
        <w:rPr>
          <w:sz w:val="24"/>
          <w:szCs w:val="24"/>
          <w:lang w:val="es-ES" w:eastAsia="es-ES_tradnl"/>
        </w:rPr>
        <w:t>nales para la vigencia 2018-2019</w:t>
      </w:r>
      <w:r>
        <w:rPr>
          <w:sz w:val="24"/>
          <w:szCs w:val="24"/>
          <w:lang w:val="es-ES" w:eastAsia="es-ES_tradnl"/>
        </w:rPr>
        <w:t xml:space="preserve"> de las siguientes compañías de seguros:</w:t>
      </w:r>
    </w:p>
    <w:p w:rsidR="00D559B0" w:rsidRDefault="00D559B0" w:rsidP="002A09E3">
      <w:pPr>
        <w:pStyle w:val="NoSpacing"/>
        <w:jc w:val="both"/>
        <w:rPr>
          <w:rFonts w:ascii="Times New Roman" w:hAnsi="Times New Roman"/>
          <w:sz w:val="24"/>
          <w:szCs w:val="24"/>
          <w:lang w:eastAsia="es-ES_tradnl"/>
        </w:rPr>
      </w:pPr>
    </w:p>
    <w:p w:rsidR="002A09E3" w:rsidRPr="0026270D" w:rsidRDefault="002A09E3" w:rsidP="0026270D">
      <w:pPr>
        <w:rPr>
          <w:sz w:val="24"/>
          <w:szCs w:val="24"/>
          <w:lang w:eastAsia="es-ES_tradnl"/>
        </w:rPr>
      </w:pPr>
      <w:r w:rsidRPr="0026270D">
        <w:rPr>
          <w:sz w:val="24"/>
          <w:szCs w:val="24"/>
          <w:lang w:eastAsia="es-ES_tradnl"/>
        </w:rPr>
        <w:t>Confederación del Canadá</w:t>
      </w:r>
      <w:r w:rsidR="0026270D" w:rsidRPr="0026270D">
        <w:rPr>
          <w:sz w:val="24"/>
          <w:szCs w:val="24"/>
          <w:lang w:eastAsia="es-ES_tradnl"/>
        </w:rPr>
        <w:t xml:space="preserve"> D</w:t>
      </w:r>
      <w:r w:rsidR="00D559B0" w:rsidRPr="0026270D">
        <w:rPr>
          <w:sz w:val="24"/>
          <w:szCs w:val="24"/>
          <w:lang w:eastAsia="es-ES_tradnl"/>
        </w:rPr>
        <w:t>ominicana S.A.</w:t>
      </w:r>
    </w:p>
    <w:p w:rsidR="002A09E3" w:rsidRPr="0026270D" w:rsidRDefault="007A4ADC" w:rsidP="0026270D">
      <w:pPr>
        <w:rPr>
          <w:sz w:val="24"/>
          <w:szCs w:val="24"/>
          <w:lang w:eastAsia="es-ES_tradnl"/>
        </w:rPr>
      </w:pPr>
      <w:r w:rsidRPr="0026270D">
        <w:rPr>
          <w:sz w:val="24"/>
          <w:szCs w:val="24"/>
          <w:lang w:eastAsia="es-ES_tradnl"/>
        </w:rPr>
        <w:t>ATRIO</w:t>
      </w:r>
      <w:r w:rsidR="0026270D" w:rsidRPr="0026270D">
        <w:rPr>
          <w:sz w:val="24"/>
          <w:szCs w:val="24"/>
          <w:lang w:eastAsia="es-ES_tradnl"/>
        </w:rPr>
        <w:t xml:space="preserve"> S.A.</w:t>
      </w:r>
      <w:r w:rsidRPr="0026270D">
        <w:rPr>
          <w:sz w:val="24"/>
          <w:szCs w:val="24"/>
          <w:lang w:eastAsia="es-ES_tradnl"/>
        </w:rPr>
        <w:t xml:space="preserve"> </w:t>
      </w:r>
    </w:p>
    <w:p w:rsidR="002A09E3" w:rsidRPr="0026270D" w:rsidRDefault="002A09E3" w:rsidP="0026270D">
      <w:pPr>
        <w:rPr>
          <w:sz w:val="24"/>
          <w:szCs w:val="24"/>
          <w:lang w:eastAsia="es-ES_tradnl"/>
        </w:rPr>
      </w:pPr>
      <w:r w:rsidRPr="0026270D">
        <w:rPr>
          <w:sz w:val="24"/>
          <w:szCs w:val="24"/>
          <w:lang w:eastAsia="es-ES_tradnl"/>
        </w:rPr>
        <w:t>La Monumental</w:t>
      </w:r>
      <w:r w:rsidR="00D559B0" w:rsidRPr="0026270D">
        <w:rPr>
          <w:sz w:val="24"/>
          <w:szCs w:val="24"/>
          <w:lang w:eastAsia="es-ES_tradnl"/>
        </w:rPr>
        <w:t xml:space="preserve"> de Seguros S.A.</w:t>
      </w:r>
    </w:p>
    <w:p w:rsidR="002A09E3" w:rsidRPr="0026270D" w:rsidRDefault="00D559B0" w:rsidP="0026270D">
      <w:pPr>
        <w:rPr>
          <w:sz w:val="24"/>
          <w:szCs w:val="24"/>
          <w:lang w:eastAsia="es-ES_tradnl"/>
        </w:rPr>
      </w:pPr>
      <w:r w:rsidRPr="0026270D">
        <w:rPr>
          <w:sz w:val="24"/>
          <w:szCs w:val="24"/>
          <w:lang w:eastAsia="es-ES_tradnl"/>
        </w:rPr>
        <w:t xml:space="preserve">Seguros Reservas S.A. </w:t>
      </w:r>
    </w:p>
    <w:p w:rsidR="002A09E3" w:rsidRPr="0026270D" w:rsidRDefault="002A09E3" w:rsidP="0026270D">
      <w:pPr>
        <w:rPr>
          <w:sz w:val="24"/>
          <w:szCs w:val="24"/>
          <w:lang w:eastAsia="es-ES_tradnl"/>
        </w:rPr>
      </w:pPr>
      <w:r w:rsidRPr="0026270D">
        <w:rPr>
          <w:sz w:val="24"/>
          <w:szCs w:val="24"/>
          <w:lang w:eastAsia="es-ES_tradnl"/>
        </w:rPr>
        <w:t>Universal</w:t>
      </w:r>
      <w:r w:rsidR="00D559B0" w:rsidRPr="0026270D">
        <w:rPr>
          <w:sz w:val="24"/>
          <w:szCs w:val="24"/>
          <w:lang w:eastAsia="es-ES_tradnl"/>
        </w:rPr>
        <w:t xml:space="preserve"> de Seguros S.A.</w:t>
      </w:r>
    </w:p>
    <w:p w:rsidR="002A09E3" w:rsidRPr="0026270D" w:rsidRDefault="002A09E3" w:rsidP="0026270D">
      <w:pPr>
        <w:rPr>
          <w:sz w:val="24"/>
          <w:szCs w:val="24"/>
          <w:lang w:eastAsia="es-ES_tradnl"/>
        </w:rPr>
      </w:pPr>
      <w:r w:rsidRPr="0026270D">
        <w:rPr>
          <w:sz w:val="24"/>
          <w:szCs w:val="24"/>
          <w:lang w:eastAsia="es-ES_tradnl"/>
        </w:rPr>
        <w:t>Mapfre</w:t>
      </w:r>
      <w:r w:rsidR="00D559B0" w:rsidRPr="0026270D">
        <w:rPr>
          <w:sz w:val="24"/>
          <w:szCs w:val="24"/>
          <w:lang w:eastAsia="es-ES_tradnl"/>
        </w:rPr>
        <w:t xml:space="preserve"> BHD </w:t>
      </w:r>
      <w:proofErr w:type="spellStart"/>
      <w:r w:rsidR="00D559B0" w:rsidRPr="0026270D">
        <w:rPr>
          <w:sz w:val="24"/>
          <w:szCs w:val="24"/>
          <w:lang w:eastAsia="es-ES_tradnl"/>
        </w:rPr>
        <w:t>c</w:t>
      </w:r>
      <w:r w:rsidR="00EA1D1B" w:rsidRPr="0026270D">
        <w:rPr>
          <w:sz w:val="24"/>
          <w:szCs w:val="24"/>
          <w:lang w:eastAsia="es-ES_tradnl"/>
        </w:rPr>
        <w:t>í</w:t>
      </w:r>
      <w:r w:rsidR="00D559B0" w:rsidRPr="0026270D">
        <w:rPr>
          <w:sz w:val="24"/>
          <w:szCs w:val="24"/>
          <w:lang w:eastAsia="es-ES_tradnl"/>
        </w:rPr>
        <w:t>as</w:t>
      </w:r>
      <w:proofErr w:type="spellEnd"/>
      <w:r w:rsidR="00D559B0" w:rsidRPr="0026270D">
        <w:rPr>
          <w:sz w:val="24"/>
          <w:szCs w:val="24"/>
          <w:lang w:eastAsia="es-ES_tradnl"/>
        </w:rPr>
        <w:t>. De Seguros S.A.</w:t>
      </w:r>
    </w:p>
    <w:p w:rsidR="002A09E3" w:rsidRPr="0026270D" w:rsidRDefault="002A09E3" w:rsidP="0026270D">
      <w:pPr>
        <w:rPr>
          <w:sz w:val="24"/>
          <w:szCs w:val="24"/>
          <w:lang w:eastAsia="es-ES_tradnl"/>
        </w:rPr>
      </w:pPr>
      <w:proofErr w:type="spellStart"/>
      <w:r w:rsidRPr="0026270D">
        <w:rPr>
          <w:sz w:val="24"/>
          <w:szCs w:val="24"/>
          <w:lang w:eastAsia="es-ES_tradnl"/>
        </w:rPr>
        <w:t>Coopseguros</w:t>
      </w:r>
      <w:proofErr w:type="spellEnd"/>
      <w:r w:rsidR="00EA1D1B" w:rsidRPr="0026270D">
        <w:rPr>
          <w:sz w:val="24"/>
          <w:szCs w:val="24"/>
          <w:lang w:eastAsia="es-ES_tradnl"/>
        </w:rPr>
        <w:t xml:space="preserve"> S.A.</w:t>
      </w:r>
    </w:p>
    <w:p w:rsidR="002A09E3" w:rsidRPr="0026270D" w:rsidRDefault="007A4ADC" w:rsidP="0026270D">
      <w:pPr>
        <w:rPr>
          <w:sz w:val="24"/>
          <w:szCs w:val="24"/>
          <w:lang w:val="es-ES" w:eastAsia="es-ES_tradnl"/>
        </w:rPr>
      </w:pPr>
      <w:r w:rsidRPr="0026270D">
        <w:rPr>
          <w:sz w:val="24"/>
          <w:szCs w:val="24"/>
          <w:lang w:val="es-ES" w:eastAsia="es-ES_tradnl"/>
        </w:rPr>
        <w:t>Angloamericana</w:t>
      </w:r>
      <w:r w:rsidR="00EA1D1B" w:rsidRPr="0026270D">
        <w:rPr>
          <w:sz w:val="24"/>
          <w:szCs w:val="24"/>
          <w:lang w:val="es-ES" w:eastAsia="es-ES_tradnl"/>
        </w:rPr>
        <w:t xml:space="preserve"> de Seguros S.A.</w:t>
      </w:r>
      <w:r w:rsidRPr="0026270D">
        <w:rPr>
          <w:sz w:val="24"/>
          <w:szCs w:val="24"/>
          <w:lang w:val="es-ES" w:eastAsia="es-ES_tradnl"/>
        </w:rPr>
        <w:tab/>
      </w:r>
    </w:p>
    <w:p w:rsidR="00312472" w:rsidRPr="0026270D" w:rsidRDefault="00426DAF" w:rsidP="0026270D">
      <w:pPr>
        <w:rPr>
          <w:sz w:val="24"/>
          <w:szCs w:val="24"/>
          <w:lang w:val="es-ES"/>
        </w:rPr>
      </w:pPr>
      <w:proofErr w:type="spellStart"/>
      <w:r w:rsidRPr="0026270D">
        <w:rPr>
          <w:sz w:val="24"/>
          <w:szCs w:val="24"/>
          <w:lang w:val="es-ES" w:eastAsia="es-ES_tradnl"/>
        </w:rPr>
        <w:t>Multiseguros</w:t>
      </w:r>
      <w:proofErr w:type="spellEnd"/>
      <w:r w:rsidR="0026270D" w:rsidRPr="0026270D">
        <w:rPr>
          <w:sz w:val="24"/>
          <w:szCs w:val="24"/>
          <w:lang w:val="es-ES"/>
        </w:rPr>
        <w:t>, S. U., S.A.</w:t>
      </w:r>
    </w:p>
    <w:p w:rsidR="00CA26D9" w:rsidRDefault="00CA26D9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2A09E3" w:rsidRDefault="007E21B2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Recibimos noventa y tres</w:t>
      </w:r>
      <w:r w:rsidR="002A09E3" w:rsidRPr="00F55803">
        <w:rPr>
          <w:sz w:val="24"/>
          <w:szCs w:val="24"/>
          <w:lang w:val="es-ES" w:eastAsia="es-ES_tradnl"/>
        </w:rPr>
        <w:t xml:space="preserve"> (</w:t>
      </w:r>
      <w:r w:rsidR="007A4ADC">
        <w:rPr>
          <w:sz w:val="24"/>
          <w:szCs w:val="24"/>
          <w:lang w:val="es-ES" w:eastAsia="es-ES_tradnl"/>
        </w:rPr>
        <w:t>93</w:t>
      </w:r>
      <w:r w:rsidR="00876A23" w:rsidRPr="00F55803">
        <w:rPr>
          <w:sz w:val="24"/>
          <w:szCs w:val="24"/>
          <w:lang w:val="es-ES" w:eastAsia="es-ES_tradnl"/>
        </w:rPr>
        <w:t>)</w:t>
      </w:r>
      <w:r w:rsidR="00876A23">
        <w:rPr>
          <w:b/>
          <w:sz w:val="24"/>
          <w:szCs w:val="24"/>
          <w:lang w:val="es-ES" w:eastAsia="es-ES_tradnl"/>
        </w:rPr>
        <w:t xml:space="preserve"> </w:t>
      </w:r>
      <w:r w:rsidR="00876A23">
        <w:rPr>
          <w:sz w:val="24"/>
          <w:szCs w:val="24"/>
          <w:lang w:val="es-ES" w:eastAsia="es-ES_tradnl"/>
        </w:rPr>
        <w:t>documentos</w:t>
      </w:r>
      <w:r w:rsidR="002A09E3">
        <w:rPr>
          <w:sz w:val="24"/>
          <w:szCs w:val="24"/>
          <w:lang w:val="es-ES" w:eastAsia="es-ES_tradnl"/>
        </w:rPr>
        <w:t xml:space="preserve"> actualizados de compañías extranjeras con la finalidad de renovar su condición de reasegurador aceptado no radicado para poder mantener negocios de reaseguros con aseguradores y reaseguradores locales.</w:t>
      </w: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D9795D" w:rsidRPr="00C30B05" w:rsidRDefault="00D22CF3" w:rsidP="00FB02A4">
      <w:pPr>
        <w:spacing w:line="360" w:lineRule="auto"/>
        <w:jc w:val="both"/>
        <w:rPr>
          <w:sz w:val="24"/>
          <w:szCs w:val="24"/>
          <w:lang w:eastAsia="es-ES_tradnl"/>
        </w:rPr>
      </w:pPr>
      <w:r>
        <w:rPr>
          <w:sz w:val="24"/>
          <w:szCs w:val="24"/>
          <w:lang w:val="es-ES" w:eastAsia="es-ES_tradnl"/>
        </w:rPr>
        <w:t>Procedimos al registro de un</w:t>
      </w:r>
      <w:r w:rsidR="002A09E3" w:rsidRPr="00F55803">
        <w:rPr>
          <w:sz w:val="24"/>
          <w:szCs w:val="24"/>
          <w:lang w:val="es-ES" w:eastAsia="es-ES_tradnl"/>
        </w:rPr>
        <w:t xml:space="preserve"> (</w:t>
      </w:r>
      <w:r>
        <w:rPr>
          <w:sz w:val="24"/>
          <w:szCs w:val="24"/>
          <w:lang w:val="es-ES" w:eastAsia="es-ES_tradnl"/>
        </w:rPr>
        <w:t>1</w:t>
      </w:r>
      <w:r w:rsidR="002A09E3" w:rsidRPr="00F55803">
        <w:rPr>
          <w:sz w:val="24"/>
          <w:szCs w:val="24"/>
          <w:lang w:val="es-ES" w:eastAsia="es-ES_tradnl"/>
        </w:rPr>
        <w:t>)</w:t>
      </w:r>
      <w:r w:rsidR="002A09E3">
        <w:rPr>
          <w:b/>
          <w:sz w:val="24"/>
          <w:szCs w:val="24"/>
          <w:lang w:val="es-ES" w:eastAsia="es-ES_tradnl"/>
        </w:rPr>
        <w:t xml:space="preserve"> </w:t>
      </w:r>
      <w:r w:rsidR="00EC3BBF">
        <w:rPr>
          <w:sz w:val="24"/>
          <w:szCs w:val="24"/>
          <w:lang w:val="es-ES" w:eastAsia="es-ES_tradnl"/>
        </w:rPr>
        <w:t>corredor de reaseguros del exterior, el</w:t>
      </w:r>
      <w:r w:rsidR="002A09E3">
        <w:rPr>
          <w:sz w:val="24"/>
          <w:szCs w:val="24"/>
          <w:lang w:val="es-ES" w:eastAsia="es-ES_tradnl"/>
        </w:rPr>
        <w:t xml:space="preserve"> cual detallamos a continuación:</w:t>
      </w:r>
      <w:r w:rsidR="00FB02A4">
        <w:rPr>
          <w:sz w:val="24"/>
          <w:szCs w:val="24"/>
          <w:lang w:val="es-ES" w:eastAsia="es-ES_tradnl"/>
        </w:rPr>
        <w:t xml:space="preserve"> </w:t>
      </w:r>
      <w:proofErr w:type="spellStart"/>
      <w:r w:rsidRPr="00C30B05">
        <w:rPr>
          <w:sz w:val="24"/>
          <w:szCs w:val="24"/>
          <w:lang w:eastAsia="es-ES_tradnl"/>
        </w:rPr>
        <w:t>Frenkel</w:t>
      </w:r>
      <w:proofErr w:type="spellEnd"/>
      <w:r w:rsidRPr="00C30B05">
        <w:rPr>
          <w:sz w:val="24"/>
          <w:szCs w:val="24"/>
          <w:lang w:eastAsia="es-ES_tradnl"/>
        </w:rPr>
        <w:t xml:space="preserve"> </w:t>
      </w:r>
      <w:proofErr w:type="spellStart"/>
      <w:r w:rsidRPr="00C30B05">
        <w:rPr>
          <w:sz w:val="24"/>
          <w:szCs w:val="24"/>
          <w:lang w:eastAsia="es-ES_tradnl"/>
        </w:rPr>
        <w:t>Benefits</w:t>
      </w:r>
      <w:proofErr w:type="spellEnd"/>
      <w:r w:rsidRPr="00C30B05">
        <w:rPr>
          <w:sz w:val="24"/>
          <w:szCs w:val="24"/>
          <w:lang w:eastAsia="es-ES_tradnl"/>
        </w:rPr>
        <w:t>,</w:t>
      </w:r>
      <w:r w:rsidR="00FB02A4" w:rsidRPr="00C30B05">
        <w:rPr>
          <w:sz w:val="24"/>
          <w:szCs w:val="24"/>
          <w:lang w:eastAsia="es-ES_tradnl"/>
        </w:rPr>
        <w:t xml:space="preserve"> Lic. De New York. EE.UU.</w:t>
      </w:r>
      <w:r w:rsidR="00C309D5" w:rsidRPr="00C30B05">
        <w:rPr>
          <w:sz w:val="24"/>
          <w:szCs w:val="24"/>
          <w:lang w:eastAsia="es-ES_tradnl"/>
        </w:rPr>
        <w:t xml:space="preserve"> </w:t>
      </w:r>
    </w:p>
    <w:p w:rsidR="009C5D26" w:rsidRPr="00C30B05" w:rsidRDefault="009C5D26" w:rsidP="002A09E3">
      <w:pPr>
        <w:spacing w:line="360" w:lineRule="auto"/>
        <w:jc w:val="both"/>
        <w:rPr>
          <w:sz w:val="24"/>
          <w:szCs w:val="24"/>
        </w:rPr>
      </w:pP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dirección de Recursos Humanos a trav</w:t>
      </w:r>
      <w:r w:rsidR="005F4D33">
        <w:rPr>
          <w:sz w:val="24"/>
          <w:szCs w:val="24"/>
          <w:lang w:val="es-ES"/>
        </w:rPr>
        <w:t>és de la unidad de capacitación</w:t>
      </w:r>
      <w:r>
        <w:rPr>
          <w:sz w:val="24"/>
          <w:szCs w:val="24"/>
          <w:lang w:val="es-ES"/>
        </w:rPr>
        <w:t xml:space="preserve">, </w:t>
      </w:r>
      <w:r w:rsidR="005F4D33">
        <w:rPr>
          <w:sz w:val="24"/>
          <w:szCs w:val="24"/>
          <w:lang w:val="es-ES"/>
        </w:rPr>
        <w:t xml:space="preserve">en </w:t>
      </w:r>
      <w:r>
        <w:rPr>
          <w:sz w:val="24"/>
          <w:szCs w:val="24"/>
          <w:lang w:val="es-ES"/>
        </w:rPr>
        <w:t>cumplimiento a su programa de capacitación a</w:t>
      </w:r>
      <w:r w:rsidR="005F4D33">
        <w:rPr>
          <w:sz w:val="24"/>
          <w:szCs w:val="24"/>
          <w:lang w:val="es-ES"/>
        </w:rPr>
        <w:t>l</w:t>
      </w:r>
      <w:r>
        <w:rPr>
          <w:sz w:val="24"/>
          <w:szCs w:val="24"/>
          <w:lang w:val="es-ES"/>
        </w:rPr>
        <w:t xml:space="preserve"> personal </w:t>
      </w:r>
      <w:r w:rsidR="00152DF9">
        <w:rPr>
          <w:sz w:val="24"/>
          <w:szCs w:val="24"/>
          <w:lang w:val="es-ES"/>
        </w:rPr>
        <w:t>ha impartido cincuenta y cuatro</w:t>
      </w:r>
      <w:r>
        <w:rPr>
          <w:sz w:val="24"/>
          <w:szCs w:val="24"/>
          <w:lang w:val="es-ES"/>
        </w:rPr>
        <w:t xml:space="preserve"> </w:t>
      </w:r>
      <w:r w:rsidR="00FB02A4">
        <w:rPr>
          <w:sz w:val="24"/>
          <w:szCs w:val="24"/>
          <w:lang w:val="es-ES"/>
        </w:rPr>
        <w:t xml:space="preserve">(54) </w:t>
      </w:r>
      <w:r>
        <w:rPr>
          <w:sz w:val="24"/>
          <w:szCs w:val="24"/>
          <w:lang w:val="es-ES"/>
        </w:rPr>
        <w:t xml:space="preserve">eventos </w:t>
      </w:r>
      <w:r w:rsidR="005F4D33">
        <w:rPr>
          <w:sz w:val="24"/>
          <w:szCs w:val="24"/>
          <w:lang w:val="es-ES"/>
        </w:rPr>
        <w:t xml:space="preserve">de capacitación </w:t>
      </w:r>
      <w:r>
        <w:rPr>
          <w:sz w:val="24"/>
          <w:szCs w:val="24"/>
          <w:lang w:val="es-ES"/>
        </w:rPr>
        <w:t>en diferentes áreas</w:t>
      </w:r>
      <w:r w:rsidR="00FB02A4">
        <w:rPr>
          <w:sz w:val="24"/>
          <w:szCs w:val="24"/>
          <w:lang w:val="es-ES"/>
        </w:rPr>
        <w:t>.</w:t>
      </w:r>
    </w:p>
    <w:p w:rsidR="00FB02A4" w:rsidRDefault="00FB02A4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E1078D" w:rsidRPr="00E1078D" w:rsidRDefault="00AD4242" w:rsidP="00D044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s-ES" w:eastAsia="es-ES_tradnl"/>
        </w:rPr>
        <w:t>R</w:t>
      </w:r>
      <w:r w:rsidR="00E1078D">
        <w:rPr>
          <w:sz w:val="24"/>
          <w:szCs w:val="24"/>
          <w:lang w:val="es-ES" w:eastAsia="es-ES_tradnl"/>
        </w:rPr>
        <w:t>e</w:t>
      </w:r>
      <w:r w:rsidR="00E1078D" w:rsidRPr="00E1078D">
        <w:rPr>
          <w:sz w:val="24"/>
          <w:szCs w:val="24"/>
        </w:rPr>
        <w:t xml:space="preserve">habilitación del estadio de Softball </w:t>
      </w:r>
      <w:r w:rsidR="00D044FB">
        <w:rPr>
          <w:sz w:val="24"/>
          <w:szCs w:val="24"/>
        </w:rPr>
        <w:t xml:space="preserve">donde se </w:t>
      </w:r>
      <w:r w:rsidR="00876A23">
        <w:rPr>
          <w:sz w:val="24"/>
          <w:szCs w:val="24"/>
        </w:rPr>
        <w:t>incluyó</w:t>
      </w:r>
      <w:r w:rsidR="00D044FB">
        <w:rPr>
          <w:sz w:val="24"/>
          <w:szCs w:val="24"/>
        </w:rPr>
        <w:t xml:space="preserve"> lo siguiente: l</w:t>
      </w:r>
      <w:r w:rsidR="00E1078D" w:rsidRPr="00E1078D">
        <w:rPr>
          <w:sz w:val="24"/>
          <w:szCs w:val="24"/>
        </w:rPr>
        <w:t>evant</w:t>
      </w:r>
      <w:r w:rsidR="00D044FB">
        <w:rPr>
          <w:sz w:val="24"/>
          <w:szCs w:val="24"/>
        </w:rPr>
        <w:t>amiento y control topográfico, r</w:t>
      </w:r>
      <w:r w:rsidR="00E1078D" w:rsidRPr="00E1078D">
        <w:rPr>
          <w:sz w:val="24"/>
          <w:szCs w:val="24"/>
        </w:rPr>
        <w:t>ea</w:t>
      </w:r>
      <w:r w:rsidR="00D044FB">
        <w:rPr>
          <w:sz w:val="24"/>
          <w:szCs w:val="24"/>
        </w:rPr>
        <w:t>decuación del terreno de juego y</w:t>
      </w:r>
      <w:r w:rsidR="00E1078D" w:rsidRPr="00E1078D">
        <w:rPr>
          <w:sz w:val="24"/>
          <w:szCs w:val="24"/>
        </w:rPr>
        <w:t xml:space="preserve"> del sistema de drenaje</w:t>
      </w:r>
      <w:r w:rsidR="00D044FB">
        <w:rPr>
          <w:sz w:val="24"/>
          <w:szCs w:val="24"/>
        </w:rPr>
        <w:t xml:space="preserve"> pluvial</w:t>
      </w:r>
      <w:r w:rsidR="00E1078D" w:rsidRPr="00E1078D">
        <w:rPr>
          <w:sz w:val="24"/>
          <w:szCs w:val="24"/>
        </w:rPr>
        <w:t xml:space="preserve">, </w:t>
      </w:r>
      <w:r w:rsidR="00D044FB">
        <w:rPr>
          <w:sz w:val="24"/>
          <w:szCs w:val="24"/>
        </w:rPr>
        <w:t>a</w:t>
      </w:r>
      <w:r w:rsidR="00E1078D" w:rsidRPr="00E1078D">
        <w:rPr>
          <w:sz w:val="24"/>
          <w:szCs w:val="24"/>
        </w:rPr>
        <w:t xml:space="preserve">condicionamiento del césped, </w:t>
      </w:r>
      <w:r w:rsidR="00D044FB">
        <w:rPr>
          <w:sz w:val="24"/>
          <w:szCs w:val="24"/>
        </w:rPr>
        <w:t>i</w:t>
      </w:r>
      <w:r w:rsidR="00E1078D" w:rsidRPr="00E1078D">
        <w:rPr>
          <w:sz w:val="24"/>
          <w:szCs w:val="24"/>
        </w:rPr>
        <w:t>nstalación del sistema de riego</w:t>
      </w:r>
      <w:r w:rsidR="00D044FB">
        <w:rPr>
          <w:sz w:val="24"/>
          <w:szCs w:val="24"/>
        </w:rPr>
        <w:t>, p</w:t>
      </w:r>
      <w:r w:rsidR="00E1078D" w:rsidRPr="00E1078D">
        <w:rPr>
          <w:sz w:val="24"/>
          <w:szCs w:val="24"/>
        </w:rPr>
        <w:t>roceso de compras de un ascensor para el edificio principal, autobuses y  mobiliarios y equipos de oficina</w:t>
      </w:r>
      <w:r w:rsidR="00734B77">
        <w:rPr>
          <w:sz w:val="24"/>
          <w:szCs w:val="24"/>
        </w:rPr>
        <w:t>.</w:t>
      </w:r>
      <w:r w:rsidR="00E1078D" w:rsidRPr="00E1078D">
        <w:rPr>
          <w:sz w:val="24"/>
          <w:szCs w:val="24"/>
        </w:rPr>
        <w:t xml:space="preserve"> </w:t>
      </w:r>
    </w:p>
    <w:p w:rsidR="00E1078D" w:rsidRPr="00E1078D" w:rsidRDefault="00E1078D" w:rsidP="00E1078D">
      <w:pPr>
        <w:pStyle w:val="ListParagraph"/>
        <w:spacing w:line="360" w:lineRule="auto"/>
      </w:pPr>
    </w:p>
    <w:p w:rsidR="00E1078D" w:rsidRPr="00E1078D" w:rsidRDefault="00734B77" w:rsidP="00E1078D">
      <w:pPr>
        <w:spacing w:line="360" w:lineRule="auto"/>
        <w:ind w:right="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 procedió a</w:t>
      </w:r>
      <w:r w:rsidR="00E1078D" w:rsidRPr="00E1078D">
        <w:rPr>
          <w:sz w:val="24"/>
          <w:szCs w:val="24"/>
        </w:rPr>
        <w:t xml:space="preserve"> la reducción gradual </w:t>
      </w:r>
      <w:r>
        <w:rPr>
          <w:sz w:val="24"/>
          <w:szCs w:val="24"/>
        </w:rPr>
        <w:t>d</w:t>
      </w:r>
      <w:r w:rsidR="00E1078D" w:rsidRPr="00E1078D">
        <w:rPr>
          <w:sz w:val="24"/>
          <w:szCs w:val="24"/>
        </w:rPr>
        <w:t xml:space="preserve">el uso de papel, donde cabe mencionar el uso continuo del correo institucional e implementación de las solicitudes de materiales y equipos de oficina a través del </w:t>
      </w:r>
      <w:proofErr w:type="spellStart"/>
      <w:r w:rsidR="00E1078D" w:rsidRPr="00E1078D">
        <w:rPr>
          <w:sz w:val="24"/>
          <w:szCs w:val="24"/>
        </w:rPr>
        <w:t>IntraSIS</w:t>
      </w:r>
      <w:proofErr w:type="spellEnd"/>
      <w:r w:rsidR="00E1078D" w:rsidRPr="00E1078D">
        <w:rPr>
          <w:sz w:val="24"/>
          <w:szCs w:val="24"/>
        </w:rPr>
        <w:t>.</w:t>
      </w:r>
    </w:p>
    <w:p w:rsidR="00E1078D" w:rsidRPr="00E1078D" w:rsidRDefault="00E1078D" w:rsidP="00E1078D">
      <w:pPr>
        <w:spacing w:line="360" w:lineRule="auto"/>
        <w:contextualSpacing/>
        <w:jc w:val="both"/>
        <w:rPr>
          <w:sz w:val="24"/>
          <w:szCs w:val="24"/>
        </w:rPr>
      </w:pPr>
    </w:p>
    <w:p w:rsidR="002A09E3" w:rsidRPr="00D044FB" w:rsidRDefault="00E1078D" w:rsidP="002A09E3">
      <w:pPr>
        <w:spacing w:line="360" w:lineRule="auto"/>
        <w:contextualSpacing/>
        <w:jc w:val="both"/>
        <w:rPr>
          <w:sz w:val="24"/>
          <w:szCs w:val="24"/>
        </w:rPr>
      </w:pPr>
      <w:r w:rsidRPr="00E1078D">
        <w:rPr>
          <w:sz w:val="24"/>
          <w:szCs w:val="24"/>
        </w:rPr>
        <w:t xml:space="preserve">Organizar las celebraciones de fechas importantes como son: el </w:t>
      </w:r>
      <w:r w:rsidR="00734B77">
        <w:rPr>
          <w:sz w:val="24"/>
          <w:szCs w:val="24"/>
        </w:rPr>
        <w:t>a</w:t>
      </w:r>
      <w:r w:rsidRPr="00E1078D">
        <w:rPr>
          <w:sz w:val="24"/>
          <w:szCs w:val="24"/>
        </w:rPr>
        <w:t>niversario de la Superintendencia de Seguros, Día de las Secretarias, Día de la Mujer, Día de las Madres, Día del Seguro Privado, actividades deportivas, llegad</w:t>
      </w:r>
      <w:r w:rsidR="00734B77">
        <w:rPr>
          <w:sz w:val="24"/>
          <w:szCs w:val="24"/>
        </w:rPr>
        <w:t>a de las festividades navideñas</w:t>
      </w:r>
      <w:r w:rsidRPr="00E1078D">
        <w:rPr>
          <w:sz w:val="24"/>
          <w:szCs w:val="24"/>
        </w:rPr>
        <w:t>.</w:t>
      </w:r>
    </w:p>
    <w:p w:rsidR="00B27BCA" w:rsidRDefault="00B27BCA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6A4F4C" w:rsidRDefault="006A4F4C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6A4F4C" w:rsidRDefault="006A4F4C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6A4F4C" w:rsidRDefault="006A4F4C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6A4F4C" w:rsidRDefault="006A4F4C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6A4F4C" w:rsidRDefault="006A4F4C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lastRenderedPageBreak/>
        <w:t>La Supe</w:t>
      </w:r>
      <w:r w:rsidR="009E1078">
        <w:rPr>
          <w:sz w:val="24"/>
          <w:szCs w:val="24"/>
          <w:lang w:val="es-ES" w:eastAsia="es-ES_tradnl"/>
        </w:rPr>
        <w:t>rintendencia de Seguros continúo</w:t>
      </w:r>
      <w:r>
        <w:rPr>
          <w:sz w:val="24"/>
          <w:szCs w:val="24"/>
          <w:lang w:val="es-ES" w:eastAsia="es-ES_tradnl"/>
        </w:rPr>
        <w:t xml:space="preserve"> el proceso de liquidación forzosa de </w:t>
      </w:r>
      <w:r w:rsidR="00244955">
        <w:rPr>
          <w:sz w:val="24"/>
          <w:szCs w:val="24"/>
          <w:lang w:val="es-ES" w:eastAsia="es-ES_tradnl"/>
        </w:rPr>
        <w:t>quince</w:t>
      </w:r>
      <w:r w:rsidRPr="005C0F28">
        <w:rPr>
          <w:sz w:val="24"/>
          <w:szCs w:val="24"/>
          <w:lang w:val="es-ES" w:eastAsia="es-ES_tradnl"/>
        </w:rPr>
        <w:t xml:space="preserve"> (</w:t>
      </w:r>
      <w:r w:rsidR="00244955">
        <w:rPr>
          <w:sz w:val="24"/>
          <w:szCs w:val="24"/>
          <w:lang w:val="es-ES" w:eastAsia="es-ES_tradnl"/>
        </w:rPr>
        <w:t>15</w:t>
      </w:r>
      <w:r w:rsidRPr="005C0F28">
        <w:rPr>
          <w:sz w:val="24"/>
          <w:szCs w:val="24"/>
          <w:lang w:val="es-ES" w:eastAsia="es-ES_tradnl"/>
        </w:rPr>
        <w:t>)</w:t>
      </w:r>
      <w:r>
        <w:rPr>
          <w:sz w:val="24"/>
          <w:szCs w:val="24"/>
          <w:lang w:val="es-ES" w:eastAsia="es-ES_tradnl"/>
        </w:rPr>
        <w:t xml:space="preserve"> compañías de seguros, las que detallamos a continuación:</w:t>
      </w: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1.-  Latinoamericana de Seguros, S.A.</w:t>
      </w: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2.-  Seguros del Caribe, S.A.</w:t>
      </w: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 xml:space="preserve">3.-  </w:t>
      </w:r>
      <w:proofErr w:type="spellStart"/>
      <w:r>
        <w:rPr>
          <w:sz w:val="24"/>
          <w:szCs w:val="24"/>
          <w:lang w:val="es-ES" w:eastAsia="es-ES_tradnl"/>
        </w:rPr>
        <w:t>Citizens</w:t>
      </w:r>
      <w:proofErr w:type="spellEnd"/>
      <w:r>
        <w:rPr>
          <w:sz w:val="24"/>
          <w:szCs w:val="24"/>
          <w:lang w:val="es-ES" w:eastAsia="es-ES_tradnl"/>
        </w:rPr>
        <w:t xml:space="preserve"> Dominicana, S.A.</w:t>
      </w: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4.-  Vanguardia de Seguros, S.A.</w:t>
      </w: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5.-  La Principal de Seguros, S.A.</w:t>
      </w: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6.-  Intercontinental de Seguros, C. por A.</w:t>
      </w:r>
    </w:p>
    <w:p w:rsidR="002A09E3" w:rsidRPr="00EB04D8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 xml:space="preserve">7.-  </w:t>
      </w:r>
      <w:proofErr w:type="spellStart"/>
      <w:r>
        <w:rPr>
          <w:sz w:val="24"/>
          <w:szCs w:val="24"/>
          <w:lang w:val="es-ES" w:eastAsia="es-ES_tradnl"/>
        </w:rPr>
        <w:t>Segna</w:t>
      </w:r>
      <w:proofErr w:type="spellEnd"/>
      <w:r>
        <w:rPr>
          <w:sz w:val="24"/>
          <w:szCs w:val="24"/>
          <w:lang w:val="es-ES" w:eastAsia="es-ES_tradnl"/>
        </w:rPr>
        <w:t xml:space="preserve">, S.A. (La Antillana de Seguros, </w:t>
      </w:r>
      <w:proofErr w:type="spellStart"/>
      <w:r>
        <w:rPr>
          <w:sz w:val="24"/>
          <w:szCs w:val="24"/>
          <w:lang w:val="es-ES" w:eastAsia="es-ES_tradnl"/>
        </w:rPr>
        <w:t>Transglobal</w:t>
      </w:r>
      <w:proofErr w:type="spellEnd"/>
      <w:r>
        <w:rPr>
          <w:sz w:val="24"/>
          <w:szCs w:val="24"/>
          <w:lang w:val="es-ES" w:eastAsia="es-ES_tradnl"/>
        </w:rPr>
        <w:t xml:space="preserve"> de Seguros, </w:t>
      </w:r>
      <w:proofErr w:type="spellStart"/>
      <w:r>
        <w:rPr>
          <w:sz w:val="24"/>
          <w:szCs w:val="24"/>
          <w:lang w:val="es-ES" w:eastAsia="es-ES_tradnl"/>
        </w:rPr>
        <w:t>B.Preetzman</w:t>
      </w:r>
      <w:proofErr w:type="spellEnd"/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 xml:space="preserve">       </w:t>
      </w:r>
      <w:proofErr w:type="spellStart"/>
      <w:r>
        <w:rPr>
          <w:sz w:val="24"/>
          <w:szCs w:val="24"/>
          <w:lang w:val="es-ES" w:eastAsia="es-ES_tradnl"/>
        </w:rPr>
        <w:t>Aggerholm</w:t>
      </w:r>
      <w:proofErr w:type="spellEnd"/>
      <w:r>
        <w:rPr>
          <w:sz w:val="24"/>
          <w:szCs w:val="24"/>
          <w:lang w:val="es-ES" w:eastAsia="es-ES_tradnl"/>
        </w:rPr>
        <w:t xml:space="preserve"> C x A., </w:t>
      </w:r>
      <w:proofErr w:type="spellStart"/>
      <w:r>
        <w:rPr>
          <w:sz w:val="24"/>
          <w:szCs w:val="24"/>
          <w:lang w:val="es-ES" w:eastAsia="es-ES_tradnl"/>
        </w:rPr>
        <w:t>Mangna</w:t>
      </w:r>
      <w:proofErr w:type="spellEnd"/>
      <w:r>
        <w:rPr>
          <w:sz w:val="24"/>
          <w:szCs w:val="24"/>
          <w:lang w:val="es-ES" w:eastAsia="es-ES_tradnl"/>
        </w:rPr>
        <w:t>, S.A. y Reaseguradora Nacional).</w:t>
      </w: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8.-  Interoceánica de Seguros, S.A.</w:t>
      </w: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9.-  La Tropical de Seguros, S.A.</w:t>
      </w: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10.- Alemana de Seguros, S.A.</w:t>
      </w: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11.-  Centro de Reaseguros Universal, S.A.</w:t>
      </w: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12.-  La Isleña de Seguros</w:t>
      </w: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13.-  Central de Seguros, S.A.</w:t>
      </w: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14.- Unión de Seguros</w:t>
      </w:r>
    </w:p>
    <w:p w:rsidR="002A09E3" w:rsidRDefault="00876A2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15-Seguros C</w:t>
      </w:r>
      <w:r w:rsidR="00244955">
        <w:rPr>
          <w:sz w:val="24"/>
          <w:szCs w:val="24"/>
          <w:lang w:val="es-ES" w:eastAsia="es-ES_tradnl"/>
        </w:rPr>
        <w:t>onstitución,</w:t>
      </w:r>
      <w:r>
        <w:rPr>
          <w:sz w:val="24"/>
          <w:szCs w:val="24"/>
          <w:lang w:val="es-ES" w:eastAsia="es-ES_tradnl"/>
        </w:rPr>
        <w:t xml:space="preserve"> S.A</w:t>
      </w:r>
      <w:r w:rsidR="00244955">
        <w:rPr>
          <w:sz w:val="24"/>
          <w:szCs w:val="24"/>
          <w:lang w:val="es-ES" w:eastAsia="es-ES_tradnl"/>
        </w:rPr>
        <w:t>.</w:t>
      </w:r>
    </w:p>
    <w:p w:rsidR="00244955" w:rsidRDefault="00244955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2A09E3" w:rsidRPr="004A66D8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Nota: De estas compañías en liquidación forzosas en la actualidad hay tres (3) que están cumpliendo con los pagos por concepto de reclamos</w:t>
      </w:r>
      <w:r w:rsidRPr="004A66D8">
        <w:rPr>
          <w:sz w:val="24"/>
          <w:szCs w:val="24"/>
          <w:lang w:val="es-ES" w:eastAsia="es-ES_tradnl"/>
        </w:rPr>
        <w:t>:</w:t>
      </w: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1.- Intercontinental de Seguros</w:t>
      </w: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2.- Latinoamericana de Seguros</w:t>
      </w: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 xml:space="preserve">3.- </w:t>
      </w:r>
      <w:proofErr w:type="spellStart"/>
      <w:r>
        <w:rPr>
          <w:sz w:val="24"/>
          <w:szCs w:val="24"/>
          <w:lang w:val="es-ES" w:eastAsia="es-ES_tradnl"/>
        </w:rPr>
        <w:t>Segna</w:t>
      </w:r>
      <w:proofErr w:type="spellEnd"/>
      <w:r>
        <w:rPr>
          <w:sz w:val="24"/>
          <w:szCs w:val="24"/>
          <w:lang w:val="es-ES" w:eastAsia="es-ES_tradnl"/>
        </w:rPr>
        <w:t xml:space="preserve"> y sus vinculadas.</w:t>
      </w:r>
    </w:p>
    <w:p w:rsidR="002A09E3" w:rsidRDefault="002A09E3" w:rsidP="002A09E3">
      <w:pPr>
        <w:spacing w:line="360" w:lineRule="auto"/>
        <w:jc w:val="both"/>
        <w:rPr>
          <w:b/>
          <w:sz w:val="24"/>
          <w:szCs w:val="24"/>
          <w:lang w:val="es-ES" w:eastAsia="es-ES_tradnl"/>
        </w:rPr>
      </w:pPr>
    </w:p>
    <w:p w:rsidR="002A09E3" w:rsidRPr="00A1117C" w:rsidRDefault="009E1078" w:rsidP="005C4FD0">
      <w:pPr>
        <w:spacing w:line="360" w:lineRule="auto"/>
        <w:jc w:val="both"/>
        <w:outlineLvl w:val="0"/>
        <w:rPr>
          <w:b/>
          <w:sz w:val="24"/>
          <w:szCs w:val="24"/>
          <w:lang w:val="es-ES" w:eastAsia="es-ES_tradnl"/>
        </w:rPr>
      </w:pPr>
      <w:r>
        <w:rPr>
          <w:b/>
          <w:sz w:val="24"/>
          <w:szCs w:val="24"/>
          <w:lang w:val="es-ES" w:eastAsia="es-ES_tradnl"/>
        </w:rPr>
        <w:t>T</w:t>
      </w:r>
      <w:r w:rsidR="002A09E3" w:rsidRPr="00A1117C">
        <w:rPr>
          <w:b/>
          <w:sz w:val="24"/>
          <w:szCs w:val="24"/>
          <w:lang w:val="es-ES" w:eastAsia="es-ES_tradnl"/>
        </w:rPr>
        <w:t>res (3) compañías en autoliquidación:</w:t>
      </w:r>
    </w:p>
    <w:p w:rsidR="002A09E3" w:rsidRPr="00E77040" w:rsidRDefault="002A09E3" w:rsidP="002A09E3">
      <w:pPr>
        <w:spacing w:line="360" w:lineRule="auto"/>
        <w:jc w:val="both"/>
        <w:rPr>
          <w:sz w:val="24"/>
          <w:szCs w:val="24"/>
          <w:lang w:val="en-US" w:eastAsia="es-ES_tradnl"/>
        </w:rPr>
      </w:pPr>
      <w:r w:rsidRPr="00E77040">
        <w:rPr>
          <w:sz w:val="24"/>
          <w:szCs w:val="24"/>
          <w:lang w:val="en-US" w:eastAsia="es-ES_tradnl"/>
        </w:rPr>
        <w:t xml:space="preserve">1.- </w:t>
      </w:r>
      <w:proofErr w:type="spellStart"/>
      <w:r w:rsidRPr="00E77040">
        <w:rPr>
          <w:sz w:val="24"/>
          <w:szCs w:val="24"/>
          <w:lang w:val="en-US" w:eastAsia="es-ES_tradnl"/>
        </w:rPr>
        <w:t>Caribean</w:t>
      </w:r>
      <w:proofErr w:type="spellEnd"/>
      <w:r w:rsidRPr="00E77040">
        <w:rPr>
          <w:sz w:val="24"/>
          <w:szCs w:val="24"/>
          <w:lang w:val="en-US" w:eastAsia="es-ES_tradnl"/>
        </w:rPr>
        <w:t xml:space="preserve"> American Life and General Insurance Company (</w:t>
      </w:r>
      <w:proofErr w:type="spellStart"/>
      <w:r w:rsidRPr="00E77040">
        <w:rPr>
          <w:sz w:val="24"/>
          <w:szCs w:val="24"/>
          <w:lang w:val="en-US" w:eastAsia="es-ES_tradnl"/>
        </w:rPr>
        <w:t>Caribalico</w:t>
      </w:r>
      <w:proofErr w:type="spellEnd"/>
      <w:r w:rsidRPr="00E77040">
        <w:rPr>
          <w:sz w:val="24"/>
          <w:szCs w:val="24"/>
          <w:lang w:val="en-US" w:eastAsia="es-ES_tradnl"/>
        </w:rPr>
        <w:t>)</w:t>
      </w:r>
    </w:p>
    <w:p w:rsidR="002A09E3" w:rsidRPr="00CA3237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CA3237">
        <w:rPr>
          <w:sz w:val="24"/>
          <w:szCs w:val="24"/>
          <w:lang w:val="es-ES" w:eastAsia="es-ES_tradnl"/>
        </w:rPr>
        <w:t xml:space="preserve">2.- Seguros </w:t>
      </w:r>
      <w:proofErr w:type="spellStart"/>
      <w:r w:rsidRPr="00CA3237">
        <w:rPr>
          <w:sz w:val="24"/>
          <w:szCs w:val="24"/>
          <w:lang w:val="es-ES" w:eastAsia="es-ES_tradnl"/>
        </w:rPr>
        <w:t>Unika</w:t>
      </w:r>
      <w:proofErr w:type="spellEnd"/>
      <w:r w:rsidRPr="00CA3237">
        <w:rPr>
          <w:sz w:val="24"/>
          <w:szCs w:val="24"/>
          <w:lang w:val="es-ES" w:eastAsia="es-ES_tradnl"/>
        </w:rPr>
        <w:t>, S.A.</w:t>
      </w: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CA3237">
        <w:rPr>
          <w:sz w:val="24"/>
          <w:szCs w:val="24"/>
          <w:lang w:val="es-ES" w:eastAsia="es-ES_tradnl"/>
        </w:rPr>
        <w:t>3.-</w:t>
      </w:r>
      <w:r>
        <w:rPr>
          <w:sz w:val="24"/>
          <w:szCs w:val="24"/>
          <w:lang w:val="es-ES" w:eastAsia="es-ES_tradnl"/>
        </w:rPr>
        <w:t xml:space="preserve"> Federal </w:t>
      </w:r>
      <w:proofErr w:type="spellStart"/>
      <w:r>
        <w:rPr>
          <w:sz w:val="24"/>
          <w:szCs w:val="24"/>
          <w:lang w:val="es-ES" w:eastAsia="es-ES_tradnl"/>
        </w:rPr>
        <w:t>Insurance</w:t>
      </w:r>
      <w:proofErr w:type="spellEnd"/>
      <w:r>
        <w:rPr>
          <w:sz w:val="24"/>
          <w:szCs w:val="24"/>
          <w:lang w:val="es-ES" w:eastAsia="es-ES_tradnl"/>
        </w:rPr>
        <w:t xml:space="preserve"> Company</w:t>
      </w:r>
    </w:p>
    <w:p w:rsidR="009E1078" w:rsidRDefault="009E1078" w:rsidP="002A09E3">
      <w:pPr>
        <w:spacing w:line="360" w:lineRule="auto"/>
        <w:jc w:val="both"/>
        <w:rPr>
          <w:sz w:val="24"/>
          <w:szCs w:val="24"/>
          <w:lang w:val="es-ES"/>
        </w:rPr>
      </w:pPr>
    </w:p>
    <w:p w:rsidR="002A09E3" w:rsidRPr="002A09E3" w:rsidRDefault="009E1078" w:rsidP="002A09E3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 </w:t>
      </w:r>
      <w:r w:rsidR="00876A23">
        <w:rPr>
          <w:sz w:val="24"/>
          <w:szCs w:val="24"/>
          <w:lang w:val="es-ES"/>
        </w:rPr>
        <w:t>realizó</w:t>
      </w:r>
      <w:r>
        <w:rPr>
          <w:sz w:val="24"/>
          <w:szCs w:val="24"/>
          <w:lang w:val="es-ES"/>
        </w:rPr>
        <w:t xml:space="preserve"> el </w:t>
      </w:r>
      <w:r w:rsidR="002A09E3">
        <w:rPr>
          <w:sz w:val="24"/>
          <w:szCs w:val="24"/>
          <w:lang w:val="es-ES"/>
        </w:rPr>
        <w:t xml:space="preserve">pago a los reclamantes de </w:t>
      </w:r>
      <w:r w:rsidR="00687E97">
        <w:rPr>
          <w:sz w:val="24"/>
          <w:szCs w:val="24"/>
          <w:lang w:val="es-ES"/>
        </w:rPr>
        <w:t xml:space="preserve">primas no </w:t>
      </w:r>
      <w:r w:rsidR="00876A23">
        <w:rPr>
          <w:sz w:val="24"/>
          <w:szCs w:val="24"/>
          <w:lang w:val="es-ES"/>
        </w:rPr>
        <w:t>consumidas por</w:t>
      </w:r>
      <w:r w:rsidR="007E21B2">
        <w:rPr>
          <w:sz w:val="24"/>
          <w:szCs w:val="24"/>
          <w:lang w:val="es-ES"/>
        </w:rPr>
        <w:t xml:space="preserve"> un monto de RS$47,094.00/100</w:t>
      </w:r>
      <w:r w:rsidR="00470333">
        <w:rPr>
          <w:sz w:val="24"/>
          <w:szCs w:val="24"/>
          <w:lang w:val="es-ES"/>
        </w:rPr>
        <w:t xml:space="preserve"> </w:t>
      </w:r>
      <w:r w:rsidR="00687E97">
        <w:rPr>
          <w:sz w:val="24"/>
          <w:szCs w:val="24"/>
          <w:lang w:val="es-ES"/>
        </w:rPr>
        <w:t>(cu</w:t>
      </w:r>
      <w:r w:rsidR="007E21B2">
        <w:rPr>
          <w:sz w:val="24"/>
          <w:szCs w:val="24"/>
          <w:lang w:val="es-ES"/>
        </w:rPr>
        <w:t>arenta y siete mil noventa y cuatro</w:t>
      </w:r>
      <w:r w:rsidR="00687E97">
        <w:rPr>
          <w:sz w:val="24"/>
          <w:szCs w:val="24"/>
          <w:lang w:val="es-ES"/>
        </w:rPr>
        <w:t xml:space="preserve"> pesos con </w:t>
      </w:r>
      <w:r w:rsidR="00AD4959">
        <w:rPr>
          <w:sz w:val="24"/>
          <w:szCs w:val="24"/>
          <w:lang w:val="es-ES"/>
        </w:rPr>
        <w:t>00</w:t>
      </w:r>
      <w:r w:rsidR="00687E97">
        <w:rPr>
          <w:sz w:val="24"/>
          <w:szCs w:val="24"/>
          <w:lang w:val="es-ES"/>
        </w:rPr>
        <w:t>/100)</w:t>
      </w:r>
      <w:r w:rsidR="002A09E3">
        <w:rPr>
          <w:sz w:val="24"/>
          <w:szCs w:val="24"/>
          <w:lang w:val="es-ES"/>
        </w:rPr>
        <w:t>.</w:t>
      </w:r>
    </w:p>
    <w:p w:rsidR="000A5EAC" w:rsidRDefault="000A5EAC" w:rsidP="009C764D">
      <w:pPr>
        <w:spacing w:line="360" w:lineRule="auto"/>
        <w:jc w:val="both"/>
        <w:rPr>
          <w:sz w:val="24"/>
          <w:szCs w:val="24"/>
          <w:lang w:val="es-ES"/>
        </w:rPr>
      </w:pPr>
    </w:p>
    <w:p w:rsidR="009C764D" w:rsidRDefault="009C764D" w:rsidP="009C764D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Dirección Financiera analizó y autorizo los estados financieros de la Institución</w:t>
      </w:r>
      <w:r w:rsidR="00470333">
        <w:rPr>
          <w:sz w:val="24"/>
          <w:szCs w:val="24"/>
          <w:lang w:val="es-ES"/>
        </w:rPr>
        <w:t xml:space="preserve">, así como garantizó los </w:t>
      </w:r>
      <w:r w:rsidR="00876A23">
        <w:rPr>
          <w:sz w:val="24"/>
          <w:szCs w:val="24"/>
          <w:lang w:val="es-ES"/>
        </w:rPr>
        <w:t>pagos oportunos</w:t>
      </w:r>
      <w:r>
        <w:rPr>
          <w:sz w:val="24"/>
          <w:szCs w:val="24"/>
          <w:lang w:val="es-ES"/>
        </w:rPr>
        <w:t xml:space="preserve"> a todos los empleados de la institución. </w:t>
      </w:r>
    </w:p>
    <w:p w:rsidR="009C764D" w:rsidRDefault="009C764D" w:rsidP="009C764D">
      <w:pPr>
        <w:spacing w:line="360" w:lineRule="auto"/>
        <w:jc w:val="both"/>
        <w:rPr>
          <w:sz w:val="24"/>
          <w:szCs w:val="24"/>
          <w:lang w:val="es-ES"/>
        </w:rPr>
      </w:pPr>
    </w:p>
    <w:p w:rsidR="009C764D" w:rsidRDefault="009C764D" w:rsidP="009C764D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Fueron elaborados los Estados Financieros Básicos, Balance General y Estados de Resultados,</w:t>
      </w:r>
      <w:r w:rsidR="00D46A79">
        <w:rPr>
          <w:sz w:val="24"/>
          <w:szCs w:val="24"/>
          <w:lang w:val="es-ES"/>
        </w:rPr>
        <w:t xml:space="preserve"> hasta el mes de septiembre 2017</w:t>
      </w:r>
      <w:r>
        <w:rPr>
          <w:sz w:val="24"/>
          <w:szCs w:val="24"/>
          <w:lang w:val="es-ES"/>
        </w:rPr>
        <w:t>. De igual forma fueron llenados y enviados a la DGII los ITI para el pago de los impuestos retenidos.</w:t>
      </w:r>
    </w:p>
    <w:p w:rsidR="009C764D" w:rsidRDefault="009C764D" w:rsidP="009C764D">
      <w:pPr>
        <w:spacing w:line="360" w:lineRule="auto"/>
        <w:jc w:val="both"/>
        <w:rPr>
          <w:sz w:val="24"/>
          <w:szCs w:val="24"/>
          <w:lang w:val="es-ES"/>
        </w:rPr>
      </w:pPr>
    </w:p>
    <w:p w:rsidR="009C764D" w:rsidRDefault="00D46A79" w:rsidP="009C764D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unidad de Activo Fijo actualizo el inventario físico, y el de Bienes Nacionales con los </w:t>
      </w:r>
      <w:r w:rsidR="00F70D44">
        <w:rPr>
          <w:sz w:val="24"/>
          <w:szCs w:val="24"/>
          <w:lang w:val="es-ES"/>
        </w:rPr>
        <w:t xml:space="preserve">activos adquiridos. Se </w:t>
      </w:r>
      <w:r w:rsidR="00876A23">
        <w:rPr>
          <w:sz w:val="24"/>
          <w:szCs w:val="24"/>
          <w:lang w:val="es-ES"/>
        </w:rPr>
        <w:t>les</w:t>
      </w:r>
      <w:r w:rsidR="00F70D44">
        <w:rPr>
          <w:sz w:val="24"/>
          <w:szCs w:val="24"/>
          <w:lang w:val="es-ES"/>
        </w:rPr>
        <w:t xml:space="preserve"> dio seguimiento a los activos trasladados a diferentes departamentos.</w:t>
      </w:r>
    </w:p>
    <w:p w:rsidR="009C764D" w:rsidRDefault="009C764D" w:rsidP="009C764D">
      <w:pPr>
        <w:spacing w:line="360" w:lineRule="auto"/>
        <w:jc w:val="both"/>
        <w:rPr>
          <w:sz w:val="24"/>
          <w:szCs w:val="24"/>
          <w:lang w:val="es-ES"/>
        </w:rPr>
      </w:pPr>
    </w:p>
    <w:p w:rsidR="009C764D" w:rsidRDefault="005E7746" w:rsidP="009C764D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 trabajó con </w:t>
      </w:r>
      <w:r w:rsidR="009C764D">
        <w:rPr>
          <w:sz w:val="24"/>
          <w:szCs w:val="24"/>
          <w:lang w:val="es-ES"/>
        </w:rPr>
        <w:t>el mantenimiento de los sistemas informáticos de la institución, en la elaboración de reportes pedidos por los usuarios interesados, entrenamientos a usuarios en diferentes sistemas, soporte a las compañías aseguradoras y reas</w:t>
      </w:r>
      <w:r w:rsidR="0025783B">
        <w:rPr>
          <w:sz w:val="24"/>
          <w:szCs w:val="24"/>
          <w:lang w:val="es-ES"/>
        </w:rPr>
        <w:t xml:space="preserve">eguradoras, análisis y actualización del sistema de suministros, sustitución de los  sistemas de Recursos Humanos, Nomina y Seguros </w:t>
      </w:r>
      <w:r w:rsidR="00426DAF">
        <w:rPr>
          <w:sz w:val="24"/>
          <w:szCs w:val="24"/>
          <w:lang w:val="es-ES"/>
        </w:rPr>
        <w:t>Médicos</w:t>
      </w:r>
      <w:r w:rsidR="0025783B">
        <w:rPr>
          <w:sz w:val="24"/>
          <w:szCs w:val="24"/>
          <w:lang w:val="es-ES"/>
        </w:rPr>
        <w:t xml:space="preserve">, </w:t>
      </w:r>
      <w:r w:rsidR="00426DAF">
        <w:rPr>
          <w:sz w:val="24"/>
          <w:szCs w:val="24"/>
          <w:lang w:val="es-ES"/>
        </w:rPr>
        <w:t>así</w:t>
      </w:r>
      <w:r w:rsidR="0025783B">
        <w:rPr>
          <w:sz w:val="24"/>
          <w:szCs w:val="24"/>
          <w:lang w:val="es-ES"/>
        </w:rPr>
        <w:t xml:space="preserve"> </w:t>
      </w:r>
      <w:r w:rsidR="0002512A">
        <w:rPr>
          <w:sz w:val="24"/>
          <w:szCs w:val="24"/>
          <w:lang w:val="es-ES"/>
        </w:rPr>
        <w:t xml:space="preserve"> como la </w:t>
      </w:r>
      <w:r w:rsidR="00426DAF">
        <w:rPr>
          <w:sz w:val="24"/>
          <w:szCs w:val="24"/>
          <w:lang w:val="es-ES"/>
        </w:rPr>
        <w:t>Certificación</w:t>
      </w:r>
      <w:r w:rsidR="0002512A">
        <w:rPr>
          <w:sz w:val="24"/>
          <w:szCs w:val="24"/>
          <w:lang w:val="es-ES"/>
        </w:rPr>
        <w:t xml:space="preserve"> del Portal institucional y la instalación de los servicios de intern</w:t>
      </w:r>
      <w:r w:rsidR="00470333">
        <w:rPr>
          <w:sz w:val="24"/>
          <w:szCs w:val="24"/>
          <w:lang w:val="es-ES"/>
        </w:rPr>
        <w:t xml:space="preserve">et en el club de la institución análisis </w:t>
      </w:r>
      <w:r w:rsidR="00F25508">
        <w:rPr>
          <w:sz w:val="24"/>
          <w:szCs w:val="24"/>
          <w:lang w:val="es-ES"/>
        </w:rPr>
        <w:t xml:space="preserve">y </w:t>
      </w:r>
      <w:r w:rsidR="006A4F4C">
        <w:rPr>
          <w:sz w:val="24"/>
          <w:szCs w:val="24"/>
          <w:lang w:val="es-ES"/>
        </w:rPr>
        <w:t xml:space="preserve">desarrollo de la nueva </w:t>
      </w:r>
      <w:r w:rsidR="00876A23">
        <w:rPr>
          <w:sz w:val="24"/>
          <w:szCs w:val="24"/>
          <w:lang w:val="es-ES"/>
        </w:rPr>
        <w:t>intranet</w:t>
      </w:r>
      <w:r w:rsidR="006A4F4C">
        <w:rPr>
          <w:sz w:val="24"/>
          <w:szCs w:val="24"/>
          <w:lang w:val="es-ES"/>
        </w:rPr>
        <w:t xml:space="preserve"> d</w:t>
      </w:r>
      <w:r w:rsidR="00F25508">
        <w:rPr>
          <w:sz w:val="24"/>
          <w:szCs w:val="24"/>
          <w:lang w:val="es-ES"/>
        </w:rPr>
        <w:t>e la</w:t>
      </w:r>
      <w:r w:rsidR="006A4F4C">
        <w:rPr>
          <w:sz w:val="24"/>
          <w:szCs w:val="24"/>
          <w:lang w:val="es-ES"/>
        </w:rPr>
        <w:t xml:space="preserve"> superintendencia</w:t>
      </w:r>
      <w:r w:rsidR="00470333">
        <w:rPr>
          <w:sz w:val="24"/>
          <w:szCs w:val="24"/>
          <w:lang w:val="es-ES"/>
        </w:rPr>
        <w:t xml:space="preserve"> </w:t>
      </w:r>
      <w:r w:rsidR="00F25508">
        <w:rPr>
          <w:sz w:val="24"/>
          <w:szCs w:val="24"/>
          <w:lang w:val="es-ES"/>
        </w:rPr>
        <w:t>(INTRASIS)</w:t>
      </w:r>
    </w:p>
    <w:p w:rsidR="009C764D" w:rsidRDefault="009C764D" w:rsidP="009C764D">
      <w:pPr>
        <w:spacing w:line="360" w:lineRule="auto"/>
        <w:jc w:val="both"/>
        <w:rPr>
          <w:sz w:val="24"/>
          <w:szCs w:val="24"/>
          <w:lang w:val="es-ES"/>
        </w:rPr>
      </w:pPr>
    </w:p>
    <w:p w:rsidR="00470333" w:rsidRDefault="009C764D" w:rsidP="00470333">
      <w:pPr>
        <w:spacing w:line="360" w:lineRule="auto"/>
        <w:jc w:val="both"/>
        <w:outlineLvl w:val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oficina de libre acceso a la información re</w:t>
      </w:r>
      <w:r w:rsidR="00DF181C">
        <w:rPr>
          <w:sz w:val="24"/>
          <w:szCs w:val="24"/>
          <w:lang w:val="es-ES"/>
        </w:rPr>
        <w:t xml:space="preserve">cibió un total </w:t>
      </w:r>
      <w:r w:rsidR="00876A23">
        <w:rPr>
          <w:sz w:val="24"/>
          <w:szCs w:val="24"/>
          <w:lang w:val="es-ES"/>
        </w:rPr>
        <w:t>de veintisiete</w:t>
      </w:r>
      <w:r w:rsidR="00470333">
        <w:rPr>
          <w:sz w:val="24"/>
          <w:szCs w:val="24"/>
          <w:lang w:val="es-ES"/>
        </w:rPr>
        <w:t xml:space="preserve"> </w:t>
      </w:r>
      <w:r w:rsidR="00DF181C">
        <w:rPr>
          <w:sz w:val="24"/>
          <w:szCs w:val="24"/>
          <w:lang w:val="es-ES"/>
        </w:rPr>
        <w:t>(27</w:t>
      </w:r>
      <w:r>
        <w:rPr>
          <w:sz w:val="24"/>
          <w:szCs w:val="24"/>
          <w:lang w:val="es-ES"/>
        </w:rPr>
        <w:t>) solicitudes de</w:t>
      </w:r>
      <w:r w:rsidR="00DF181C">
        <w:rPr>
          <w:sz w:val="24"/>
          <w:szCs w:val="24"/>
          <w:lang w:val="es-ES"/>
        </w:rPr>
        <w:t xml:space="preserve"> información </w:t>
      </w:r>
      <w:r w:rsidR="00470333">
        <w:rPr>
          <w:sz w:val="24"/>
          <w:szCs w:val="24"/>
          <w:lang w:val="es-ES"/>
        </w:rPr>
        <w:t>y fueron recibidas un total de 11 denuncias, quejas y/o sugerencia, dando respuestas a cada una.</w:t>
      </w:r>
    </w:p>
    <w:p w:rsidR="009C764D" w:rsidRDefault="009C764D" w:rsidP="009C764D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</w:p>
    <w:p w:rsidR="009C764D" w:rsidRDefault="005E7746" w:rsidP="009C764D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 trabajó </w:t>
      </w:r>
      <w:r w:rsidR="009C764D">
        <w:rPr>
          <w:sz w:val="24"/>
          <w:szCs w:val="24"/>
          <w:lang w:val="es-ES"/>
        </w:rPr>
        <w:t>integrado a la línea 311, que maneja la oficina Presidencial de Tecnología de la Información</w:t>
      </w:r>
      <w:r w:rsidR="002C7558">
        <w:rPr>
          <w:sz w:val="24"/>
          <w:szCs w:val="24"/>
          <w:lang w:val="es-ES"/>
        </w:rPr>
        <w:t xml:space="preserve"> y comunicación (OTTIC) y h</w:t>
      </w:r>
      <w:r w:rsidR="009C764D">
        <w:rPr>
          <w:sz w:val="24"/>
          <w:szCs w:val="24"/>
          <w:lang w:val="es-ES"/>
        </w:rPr>
        <w:t>emos mantenido actualizado el sub-portal de transparencia</w:t>
      </w:r>
      <w:r w:rsidR="002C7558">
        <w:rPr>
          <w:sz w:val="24"/>
          <w:szCs w:val="24"/>
          <w:lang w:val="es-ES"/>
        </w:rPr>
        <w:t>.</w:t>
      </w:r>
    </w:p>
    <w:p w:rsidR="00932FCB" w:rsidRDefault="00932FCB" w:rsidP="009C764D">
      <w:pPr>
        <w:spacing w:line="360" w:lineRule="auto"/>
        <w:jc w:val="both"/>
        <w:rPr>
          <w:sz w:val="24"/>
          <w:szCs w:val="24"/>
          <w:lang w:val="es-ES"/>
        </w:rPr>
      </w:pPr>
    </w:p>
    <w:p w:rsidR="00932FCB" w:rsidRDefault="00A4201B" w:rsidP="009C764D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departamento de prevención del lavado de activos realizo diversas actividades de capacitación, encuentros, charlas, representaciones y seguimiento a la Ley No.155-17. </w:t>
      </w:r>
    </w:p>
    <w:p w:rsidR="009C764D" w:rsidRDefault="009C764D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9C764D" w:rsidRDefault="009C764D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9C764D" w:rsidRDefault="009C764D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9C764D" w:rsidRDefault="009C764D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9C764D" w:rsidRDefault="009C764D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9C764D" w:rsidRDefault="009C764D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9C764D" w:rsidRDefault="009C764D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CA26D9" w:rsidRDefault="00CA26D9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9C764D" w:rsidRDefault="009C764D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9C764D" w:rsidRDefault="009C764D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091105" w:rsidRDefault="00091105" w:rsidP="00D678E6">
      <w:pPr>
        <w:spacing w:line="360" w:lineRule="auto"/>
        <w:jc w:val="both"/>
        <w:rPr>
          <w:sz w:val="24"/>
          <w:szCs w:val="24"/>
          <w:lang w:val="es-ES"/>
        </w:rPr>
      </w:pPr>
    </w:p>
    <w:p w:rsidR="0069431E" w:rsidRDefault="0069431E" w:rsidP="00D678E6">
      <w:pPr>
        <w:spacing w:line="360" w:lineRule="auto"/>
        <w:jc w:val="both"/>
        <w:rPr>
          <w:sz w:val="24"/>
          <w:szCs w:val="24"/>
          <w:lang w:val="es-ES"/>
        </w:rPr>
      </w:pPr>
    </w:p>
    <w:p w:rsidR="0069431E" w:rsidRDefault="0069431E" w:rsidP="00D678E6">
      <w:pPr>
        <w:spacing w:line="360" w:lineRule="auto"/>
        <w:jc w:val="both"/>
        <w:rPr>
          <w:sz w:val="24"/>
          <w:szCs w:val="24"/>
          <w:lang w:val="es-ES"/>
        </w:rPr>
      </w:pPr>
    </w:p>
    <w:p w:rsidR="003543E7" w:rsidRDefault="003543E7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1D748B" w:rsidRDefault="001D748B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69431E" w:rsidRDefault="0069431E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BE29C4" w:rsidRDefault="00BE29C4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69431E" w:rsidRDefault="0069431E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69431E" w:rsidRDefault="0069431E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69431E" w:rsidRDefault="0069431E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69431E" w:rsidRDefault="0069431E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9E1078" w:rsidRDefault="009E1078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9E1078" w:rsidRDefault="009E1078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676115" w:rsidRDefault="00676115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4E6D8F" w:rsidRDefault="004E6D8F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4E6D8F" w:rsidRDefault="004E6D8F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4E6D8F" w:rsidRDefault="004E6D8F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4E6D8F" w:rsidRDefault="004E6D8F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4E6D8F" w:rsidRDefault="004E6D8F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4E6D8F" w:rsidRDefault="004E6D8F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4E6D8F" w:rsidRDefault="004E6D8F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4E6D8F" w:rsidRDefault="004E6D8F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4E6D8F" w:rsidRDefault="004E6D8F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4E6D8F" w:rsidRDefault="004E6D8F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676115" w:rsidRDefault="00676115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69431E" w:rsidRDefault="0069431E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1012F5" w:rsidRPr="00232B9B" w:rsidRDefault="001012F5" w:rsidP="005C4FD0">
      <w:pPr>
        <w:tabs>
          <w:tab w:val="left" w:pos="3037"/>
        </w:tabs>
        <w:jc w:val="center"/>
        <w:outlineLvl w:val="0"/>
        <w:rPr>
          <w:color w:val="003366"/>
          <w:sz w:val="72"/>
          <w:szCs w:val="72"/>
        </w:rPr>
      </w:pPr>
      <w:r w:rsidRPr="00232B9B">
        <w:rPr>
          <w:color w:val="003366"/>
          <w:sz w:val="72"/>
          <w:szCs w:val="72"/>
        </w:rPr>
        <w:t>ANEXOS</w:t>
      </w:r>
    </w:p>
    <w:p w:rsidR="001012F5" w:rsidRDefault="001012F5" w:rsidP="001012F5">
      <w:pPr>
        <w:rPr>
          <w:sz w:val="44"/>
          <w:szCs w:val="44"/>
        </w:rPr>
      </w:pPr>
    </w:p>
    <w:p w:rsidR="00C72498" w:rsidRDefault="00C72498" w:rsidP="001012F5">
      <w:pPr>
        <w:rPr>
          <w:sz w:val="44"/>
          <w:szCs w:val="44"/>
        </w:rPr>
      </w:pPr>
    </w:p>
    <w:p w:rsidR="00C72498" w:rsidRDefault="00C72498" w:rsidP="001012F5">
      <w:pPr>
        <w:rPr>
          <w:sz w:val="44"/>
          <w:szCs w:val="44"/>
        </w:rPr>
      </w:pPr>
    </w:p>
    <w:p w:rsidR="00C72498" w:rsidRDefault="00C72498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20479D" w:rsidRDefault="0020479D" w:rsidP="001012F5">
      <w:pPr>
        <w:rPr>
          <w:sz w:val="44"/>
          <w:szCs w:val="44"/>
        </w:rPr>
      </w:pPr>
    </w:p>
    <w:p w:rsidR="00D55A68" w:rsidRDefault="00D55A68" w:rsidP="001012F5">
      <w:pPr>
        <w:rPr>
          <w:sz w:val="44"/>
          <w:szCs w:val="44"/>
        </w:rPr>
      </w:pPr>
    </w:p>
    <w:tbl>
      <w:tblPr>
        <w:tblW w:w="8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540"/>
        <w:gridCol w:w="1531"/>
        <w:gridCol w:w="1740"/>
        <w:gridCol w:w="1274"/>
        <w:gridCol w:w="1480"/>
        <w:gridCol w:w="146"/>
        <w:gridCol w:w="146"/>
      </w:tblGrid>
      <w:tr w:rsidR="0069431E" w:rsidRPr="0069431E" w:rsidTr="0069431E">
        <w:trPr>
          <w:gridAfter w:val="2"/>
          <w:wAfter w:w="20" w:type="dxa"/>
          <w:trHeight w:val="300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1E" w:rsidRPr="0069431E" w:rsidRDefault="0069431E" w:rsidP="006943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6943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CUADRO No.</w:t>
            </w:r>
            <w:r w:rsidR="005E77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4</w:t>
            </w:r>
          </w:p>
        </w:tc>
      </w:tr>
      <w:tr w:rsidR="0069431E" w:rsidRPr="0069431E" w:rsidTr="0069431E">
        <w:trPr>
          <w:gridAfter w:val="2"/>
          <w:wAfter w:w="20" w:type="dxa"/>
          <w:trHeight w:val="360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1E" w:rsidRPr="0069431E" w:rsidRDefault="004E18B1" w:rsidP="006943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E18B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DO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-12700</wp:posOffset>
                  </wp:positionV>
                  <wp:extent cx="828675" cy="771525"/>
                  <wp:effectExtent l="19050" t="0" r="9525" b="0"/>
                  <wp:wrapNone/>
                  <wp:docPr id="7" name="Imagen 4" descr="Imagen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7" descr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431E" w:rsidRPr="0069431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MERCADO ASEGURADOR DOMINICANO</w:t>
            </w:r>
          </w:p>
        </w:tc>
      </w:tr>
      <w:tr w:rsidR="0069431E" w:rsidRPr="0069431E" w:rsidTr="0069431E">
        <w:trPr>
          <w:gridAfter w:val="2"/>
          <w:wAfter w:w="20" w:type="dxa"/>
          <w:trHeight w:val="300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1E" w:rsidRPr="0069431E" w:rsidRDefault="0069431E" w:rsidP="0069431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69431E">
              <w:rPr>
                <w:rFonts w:ascii="Arial" w:hAnsi="Arial" w:cs="Arial"/>
                <w:b/>
                <w:bCs/>
                <w:lang w:val="es-ES"/>
              </w:rPr>
              <w:t xml:space="preserve">Primas Netas y Exoneradas Mensualmente y Variación </w:t>
            </w:r>
          </w:p>
        </w:tc>
      </w:tr>
      <w:tr w:rsidR="0069431E" w:rsidRPr="0069431E" w:rsidTr="0069431E">
        <w:trPr>
          <w:gridAfter w:val="2"/>
          <w:wAfter w:w="20" w:type="dxa"/>
          <w:trHeight w:val="300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1E" w:rsidRPr="0069431E" w:rsidRDefault="0069431E" w:rsidP="0069431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69431E">
              <w:rPr>
                <w:rFonts w:ascii="Arial" w:hAnsi="Arial" w:cs="Arial"/>
                <w:b/>
                <w:bCs/>
                <w:lang w:val="es-ES"/>
              </w:rPr>
              <w:t>Empresas Aseguradoras</w:t>
            </w:r>
          </w:p>
        </w:tc>
      </w:tr>
      <w:tr w:rsidR="0069431E" w:rsidRPr="0069431E" w:rsidTr="0069431E">
        <w:trPr>
          <w:gridAfter w:val="2"/>
          <w:wAfter w:w="20" w:type="dxa"/>
          <w:trHeight w:val="300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1E" w:rsidRPr="0069431E" w:rsidRDefault="0069431E" w:rsidP="0069431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69431E">
              <w:rPr>
                <w:rFonts w:ascii="Arial" w:hAnsi="Arial" w:cs="Arial"/>
                <w:b/>
                <w:bCs/>
                <w:lang w:val="es-ES"/>
              </w:rPr>
              <w:t>(Valores en RD$)</w:t>
            </w:r>
          </w:p>
        </w:tc>
      </w:tr>
      <w:tr w:rsidR="0069431E" w:rsidRPr="0069431E" w:rsidTr="0069431E">
        <w:trPr>
          <w:gridAfter w:val="2"/>
          <w:wAfter w:w="20" w:type="dxa"/>
          <w:trHeight w:val="300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1E" w:rsidRPr="0069431E" w:rsidRDefault="00283C7B" w:rsidP="0069431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Año 2018</w:t>
            </w:r>
            <w:r w:rsidR="0069431E" w:rsidRPr="0069431E">
              <w:rPr>
                <w:rFonts w:ascii="Arial" w:hAnsi="Arial" w:cs="Arial"/>
                <w:b/>
                <w:bCs/>
                <w:lang w:val="es-ES"/>
              </w:rPr>
              <w:t>*</w:t>
            </w:r>
          </w:p>
        </w:tc>
      </w:tr>
      <w:tr w:rsidR="0069431E" w:rsidRPr="0069431E" w:rsidTr="0069431E">
        <w:trPr>
          <w:gridAfter w:val="2"/>
          <w:wAfter w:w="20" w:type="dxa"/>
          <w:trHeight w:val="300"/>
        </w:trPr>
        <w:tc>
          <w:tcPr>
            <w:tcW w:w="8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31E" w:rsidRPr="0069431E" w:rsidRDefault="0069431E" w:rsidP="006943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6943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69431E" w:rsidRPr="0069431E" w:rsidTr="0069431E">
        <w:trPr>
          <w:gridAfter w:val="2"/>
          <w:wAfter w:w="20" w:type="dxa"/>
          <w:trHeight w:val="42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9431E" w:rsidRPr="0069431E" w:rsidRDefault="0069431E" w:rsidP="0069431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69431E">
              <w:rPr>
                <w:rFonts w:ascii="Arial" w:hAnsi="Arial" w:cs="Arial"/>
                <w:b/>
                <w:bCs/>
                <w:lang w:val="es-ES"/>
              </w:rPr>
              <w:t>Meses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431E" w:rsidRPr="0069431E" w:rsidRDefault="0069431E" w:rsidP="0069431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69431E">
              <w:rPr>
                <w:rFonts w:ascii="Arial" w:hAnsi="Arial" w:cs="Arial"/>
                <w:b/>
                <w:bCs/>
                <w:lang w:val="es-ES"/>
              </w:rPr>
              <w:t>Primas Netas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431E" w:rsidRPr="0069431E" w:rsidRDefault="0069431E" w:rsidP="0069431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69431E">
              <w:rPr>
                <w:rFonts w:ascii="Arial" w:hAnsi="Arial" w:cs="Arial"/>
                <w:b/>
                <w:bCs/>
                <w:lang w:val="es-ES"/>
              </w:rPr>
              <w:t>Primas Exoneradas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431E" w:rsidRPr="0069431E" w:rsidRDefault="0069431E" w:rsidP="0069431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69431E">
              <w:rPr>
                <w:rFonts w:ascii="Arial" w:hAnsi="Arial" w:cs="Arial"/>
                <w:b/>
                <w:bCs/>
                <w:lang w:val="es-ES"/>
              </w:rPr>
              <w:t>Totales Primas Netas y Exoneradas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431E" w:rsidRPr="0069431E" w:rsidRDefault="0069431E" w:rsidP="0069431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69431E">
              <w:rPr>
                <w:rFonts w:ascii="Arial" w:hAnsi="Arial" w:cs="Arial"/>
                <w:b/>
                <w:bCs/>
                <w:lang w:val="es-ES"/>
              </w:rPr>
              <w:t>Porcentaje (%) Primas Exoneradas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431E" w:rsidRPr="0069431E" w:rsidRDefault="0069431E" w:rsidP="0069431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69431E">
              <w:rPr>
                <w:rFonts w:ascii="Arial" w:hAnsi="Arial" w:cs="Arial"/>
                <w:b/>
                <w:bCs/>
                <w:lang w:val="es-ES"/>
              </w:rPr>
              <w:t>Impuesto 16% dejado de percibir por el estado, por Meses</w:t>
            </w:r>
          </w:p>
        </w:tc>
      </w:tr>
      <w:tr w:rsidR="0069431E" w:rsidRPr="0069431E" w:rsidTr="0069431E">
        <w:trPr>
          <w:gridAfter w:val="2"/>
          <w:wAfter w:w="20" w:type="dxa"/>
          <w:trHeight w:val="82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E" w:rsidRPr="0069431E" w:rsidRDefault="0069431E" w:rsidP="0069431E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E" w:rsidRPr="0069431E" w:rsidRDefault="0069431E" w:rsidP="0069431E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E" w:rsidRPr="0069431E" w:rsidRDefault="0069431E" w:rsidP="0069431E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E" w:rsidRPr="0069431E" w:rsidRDefault="0069431E" w:rsidP="0069431E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E" w:rsidRPr="0069431E" w:rsidRDefault="0069431E" w:rsidP="0069431E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1E" w:rsidRPr="0069431E" w:rsidRDefault="0069431E" w:rsidP="0069431E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69431E" w:rsidRPr="0069431E" w:rsidTr="0069431E">
        <w:trPr>
          <w:gridAfter w:val="2"/>
          <w:wAfter w:w="20" w:type="dxa"/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69431E" w:rsidP="0069431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431E">
              <w:rPr>
                <w:rFonts w:ascii="Arial" w:hAnsi="Arial" w:cs="Arial"/>
                <w:sz w:val="16"/>
                <w:szCs w:val="16"/>
                <w:lang w:val="es-ES"/>
              </w:rPr>
              <w:t xml:space="preserve">Enero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9E298A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3,330,865.396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31E" w:rsidRPr="0069431E" w:rsidRDefault="00814FD6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1,110,288.465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4,441,153.861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1.97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177,646.154</w:t>
            </w:r>
          </w:p>
        </w:tc>
      </w:tr>
      <w:tr w:rsidR="0069431E" w:rsidRPr="0069431E" w:rsidTr="0069431E">
        <w:trPr>
          <w:gridAfter w:val="2"/>
          <w:wAfter w:w="2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69431E" w:rsidP="0069431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431E">
              <w:rPr>
                <w:rFonts w:ascii="Arial" w:hAnsi="Arial" w:cs="Arial"/>
                <w:sz w:val="16"/>
                <w:szCs w:val="16"/>
                <w:lang w:val="es-ES"/>
              </w:rPr>
              <w:t>Febrero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9E298A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3,148,765.207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31E" w:rsidRPr="0069431E" w:rsidRDefault="00814FD6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1,049,588.402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4,198,353.609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167,934.144</w:t>
            </w:r>
          </w:p>
        </w:tc>
      </w:tr>
      <w:tr w:rsidR="0069431E" w:rsidRPr="0069431E" w:rsidTr="0069431E">
        <w:trPr>
          <w:gridAfter w:val="2"/>
          <w:wAfter w:w="2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69431E" w:rsidP="0069431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431E">
              <w:rPr>
                <w:rFonts w:ascii="Arial" w:hAnsi="Arial" w:cs="Arial"/>
                <w:sz w:val="16"/>
                <w:szCs w:val="16"/>
                <w:lang w:val="es-ES"/>
              </w:rPr>
              <w:t>Marzo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9E298A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3,799,018.345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31E" w:rsidRPr="0069431E" w:rsidRDefault="00814FD6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1,266,339.448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3C3674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5,065,357.793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202,614.312</w:t>
            </w:r>
          </w:p>
        </w:tc>
      </w:tr>
      <w:tr w:rsidR="0069431E" w:rsidRPr="0069431E" w:rsidTr="0069431E">
        <w:trPr>
          <w:gridAfter w:val="2"/>
          <w:wAfter w:w="2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69431E" w:rsidP="0069431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431E">
              <w:rPr>
                <w:rFonts w:ascii="Arial" w:hAnsi="Arial" w:cs="Arial"/>
                <w:sz w:val="16"/>
                <w:szCs w:val="16"/>
                <w:lang w:val="es-ES"/>
              </w:rPr>
              <w:t>Abril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9E298A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3,517,073.786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31E" w:rsidRPr="0069431E" w:rsidRDefault="00814FD6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1,172,357.929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3C3674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4,689,431.714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2.08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187,577.269</w:t>
            </w:r>
          </w:p>
        </w:tc>
      </w:tr>
      <w:tr w:rsidR="0069431E" w:rsidRPr="0069431E" w:rsidTr="0069431E">
        <w:trPr>
          <w:gridAfter w:val="2"/>
          <w:wAfter w:w="2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69431E" w:rsidP="0069431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431E">
              <w:rPr>
                <w:rFonts w:ascii="Arial" w:hAnsi="Arial" w:cs="Arial"/>
                <w:sz w:val="16"/>
                <w:szCs w:val="16"/>
                <w:lang w:val="es-ES"/>
              </w:rPr>
              <w:t>Mayo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9E298A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3,764,263.848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31E" w:rsidRPr="0069431E" w:rsidRDefault="00814FD6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1,254,754.616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3C3674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5,019,018.463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200,760.739</w:t>
            </w:r>
          </w:p>
        </w:tc>
      </w:tr>
      <w:tr w:rsidR="0069431E" w:rsidRPr="0069431E" w:rsidTr="0069431E">
        <w:trPr>
          <w:gridAfter w:val="2"/>
          <w:wAfter w:w="2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69431E" w:rsidP="0069431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431E">
              <w:rPr>
                <w:rFonts w:ascii="Arial" w:hAnsi="Arial" w:cs="Arial"/>
                <w:sz w:val="16"/>
                <w:szCs w:val="16"/>
                <w:lang w:val="es-ES"/>
              </w:rPr>
              <w:t>Junio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9E298A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3,705,879 .301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31E" w:rsidRPr="0069431E" w:rsidRDefault="00814FD6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1,235,293.100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3C3674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4,941,172.402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197,646.896</w:t>
            </w:r>
          </w:p>
        </w:tc>
      </w:tr>
      <w:tr w:rsidR="0069431E" w:rsidRPr="0069431E" w:rsidTr="0069431E">
        <w:trPr>
          <w:gridAfter w:val="2"/>
          <w:wAfter w:w="2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69431E" w:rsidP="0069431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431E">
              <w:rPr>
                <w:rFonts w:ascii="Arial" w:hAnsi="Arial" w:cs="Arial"/>
                <w:sz w:val="16"/>
                <w:szCs w:val="16"/>
                <w:lang w:val="es-ES"/>
              </w:rPr>
              <w:t>Julio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9E298A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3,783,842.575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31E" w:rsidRPr="0069431E" w:rsidRDefault="00814FD6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1,261,280.858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3C3674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5,045,123.434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201,804.937</w:t>
            </w:r>
          </w:p>
        </w:tc>
      </w:tr>
      <w:tr w:rsidR="0069431E" w:rsidRPr="0069431E" w:rsidTr="0069431E">
        <w:trPr>
          <w:gridAfter w:val="2"/>
          <w:wAfter w:w="2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69431E" w:rsidP="0069431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431E">
              <w:rPr>
                <w:rFonts w:ascii="Arial" w:hAnsi="Arial" w:cs="Arial"/>
                <w:sz w:val="16"/>
                <w:szCs w:val="16"/>
                <w:lang w:val="es-ES"/>
              </w:rPr>
              <w:t>Agosto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9E298A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3,881,874.699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31E" w:rsidRPr="0069431E" w:rsidRDefault="00814FD6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1,293,958.233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3C3674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5,175,832.932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207,033.317</w:t>
            </w:r>
          </w:p>
        </w:tc>
      </w:tr>
      <w:tr w:rsidR="0069431E" w:rsidRPr="0069431E" w:rsidTr="0069431E">
        <w:trPr>
          <w:gridAfter w:val="2"/>
          <w:wAfter w:w="2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69431E" w:rsidP="0069431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431E">
              <w:rPr>
                <w:rFonts w:ascii="Arial" w:hAnsi="Arial" w:cs="Arial"/>
                <w:sz w:val="16"/>
                <w:szCs w:val="16"/>
                <w:lang w:val="es-ES"/>
              </w:rPr>
              <w:t>Septiembre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9E298A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3,308,487.542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31E" w:rsidRPr="0069431E" w:rsidRDefault="00814FD6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1,1021829.181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3C3674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4,411,316.722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176,452.669</w:t>
            </w:r>
          </w:p>
        </w:tc>
      </w:tr>
      <w:tr w:rsidR="0069431E" w:rsidRPr="0069431E" w:rsidTr="0069431E">
        <w:trPr>
          <w:gridAfter w:val="2"/>
          <w:wAfter w:w="2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69431E" w:rsidP="0069431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431E">
              <w:rPr>
                <w:rFonts w:ascii="Arial" w:hAnsi="Arial" w:cs="Arial"/>
                <w:sz w:val="16"/>
                <w:szCs w:val="16"/>
                <w:lang w:val="es-ES"/>
              </w:rPr>
              <w:t xml:space="preserve">Octubre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9E298A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3,112,982.744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31E" w:rsidRPr="0069431E" w:rsidRDefault="00814FD6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1,037,660.915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3C3674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4,150,643.658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166,025.746</w:t>
            </w:r>
          </w:p>
        </w:tc>
      </w:tr>
      <w:tr w:rsidR="0069431E" w:rsidRPr="0069431E" w:rsidTr="0069431E">
        <w:trPr>
          <w:gridAfter w:val="2"/>
          <w:wAfter w:w="2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69431E" w:rsidP="0069431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431E">
              <w:rPr>
                <w:rFonts w:ascii="Arial" w:hAnsi="Arial" w:cs="Arial"/>
                <w:sz w:val="16"/>
                <w:szCs w:val="16"/>
                <w:lang w:val="es-ES"/>
              </w:rPr>
              <w:t>Noviembre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9E298A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3,176,515.398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31E" w:rsidRPr="0069431E" w:rsidRDefault="00814FD6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1,058,838.466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3C3674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4,235,353.864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169,414.155</w:t>
            </w:r>
          </w:p>
        </w:tc>
      </w:tr>
      <w:tr w:rsidR="0069431E" w:rsidRPr="0069431E" w:rsidTr="0069431E">
        <w:trPr>
          <w:gridAfter w:val="2"/>
          <w:wAfter w:w="2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69431E" w:rsidP="0069431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431E">
              <w:rPr>
                <w:rFonts w:ascii="Arial" w:hAnsi="Arial" w:cs="Arial"/>
                <w:sz w:val="16"/>
                <w:szCs w:val="16"/>
                <w:lang w:val="es-ES"/>
              </w:rPr>
              <w:t>Diciembre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9E298A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3,665,839.129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31E" w:rsidRPr="0069431E" w:rsidRDefault="00814FD6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1,221,946.376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3C3674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4,887,785.505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195,511.420</w:t>
            </w:r>
          </w:p>
        </w:tc>
      </w:tr>
      <w:tr w:rsidR="0069431E" w:rsidRPr="0069431E" w:rsidTr="0069431E">
        <w:trPr>
          <w:gridAfter w:val="2"/>
          <w:wAfter w:w="20" w:type="dxa"/>
          <w:trHeight w:val="40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9431E" w:rsidRPr="0069431E" w:rsidRDefault="0069431E" w:rsidP="0069431E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69431E">
              <w:rPr>
                <w:rFonts w:ascii="Arial" w:hAnsi="Arial" w:cs="Arial"/>
                <w:b/>
                <w:bCs/>
                <w:lang w:val="es-ES"/>
              </w:rPr>
              <w:t>Totales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9431E" w:rsidRPr="0069431E" w:rsidRDefault="009E298A" w:rsidP="00814FD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42,195,407.968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9431E" w:rsidRPr="0069431E" w:rsidRDefault="00814FD6" w:rsidP="00814FD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14,065,135.989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56,260,543.957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9431E" w:rsidRPr="0069431E" w:rsidRDefault="000B61A0" w:rsidP="00814FD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2,250,421.758</w:t>
            </w:r>
          </w:p>
        </w:tc>
      </w:tr>
      <w:tr w:rsidR="0069431E" w:rsidRPr="0069431E" w:rsidTr="0069431E">
        <w:trPr>
          <w:trHeight w:val="300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1E" w:rsidRPr="0069431E" w:rsidRDefault="0069431E" w:rsidP="0069431E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9431E">
              <w:rPr>
                <w:rFonts w:ascii="Arial" w:hAnsi="Arial" w:cs="Arial"/>
                <w:sz w:val="14"/>
                <w:szCs w:val="14"/>
                <w:lang w:val="es-ES"/>
              </w:rPr>
              <w:t>Fuente: Superintendencia de Seguros, Departamento de Análisis y Estadísticas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1E" w:rsidRPr="0069431E" w:rsidRDefault="0069431E" w:rsidP="0069431E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1E" w:rsidRPr="0069431E" w:rsidRDefault="0069431E" w:rsidP="0069431E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D55A68" w:rsidRPr="0069431E" w:rsidRDefault="00D55A68" w:rsidP="001012F5">
      <w:pPr>
        <w:rPr>
          <w:sz w:val="44"/>
          <w:szCs w:val="44"/>
          <w:lang w:val="es-ES"/>
        </w:rPr>
      </w:pPr>
    </w:p>
    <w:p w:rsidR="0069431E" w:rsidRDefault="0069431E" w:rsidP="001012F5">
      <w:pPr>
        <w:rPr>
          <w:sz w:val="44"/>
          <w:szCs w:val="44"/>
        </w:rPr>
      </w:pPr>
    </w:p>
    <w:p w:rsidR="0069431E" w:rsidRDefault="0069431E" w:rsidP="001012F5">
      <w:pPr>
        <w:rPr>
          <w:sz w:val="44"/>
          <w:szCs w:val="44"/>
        </w:rPr>
      </w:pPr>
    </w:p>
    <w:p w:rsidR="0069431E" w:rsidRDefault="0069431E" w:rsidP="001012F5">
      <w:pPr>
        <w:rPr>
          <w:sz w:val="44"/>
          <w:szCs w:val="44"/>
        </w:rPr>
      </w:pPr>
    </w:p>
    <w:p w:rsidR="0069431E" w:rsidRDefault="0069431E" w:rsidP="001012F5">
      <w:pPr>
        <w:rPr>
          <w:sz w:val="44"/>
          <w:szCs w:val="44"/>
        </w:rPr>
      </w:pPr>
    </w:p>
    <w:p w:rsidR="0069431E" w:rsidRDefault="0069431E" w:rsidP="001012F5">
      <w:pPr>
        <w:rPr>
          <w:sz w:val="44"/>
          <w:szCs w:val="44"/>
        </w:rPr>
      </w:pPr>
    </w:p>
    <w:p w:rsidR="0069431E" w:rsidRDefault="0069431E" w:rsidP="001012F5">
      <w:pPr>
        <w:rPr>
          <w:sz w:val="44"/>
          <w:szCs w:val="44"/>
        </w:rPr>
      </w:pPr>
    </w:p>
    <w:p w:rsidR="0069431E" w:rsidRDefault="0069431E" w:rsidP="001012F5">
      <w:pPr>
        <w:rPr>
          <w:sz w:val="44"/>
          <w:szCs w:val="44"/>
        </w:rPr>
      </w:pPr>
    </w:p>
    <w:p w:rsidR="0069431E" w:rsidRDefault="0069431E" w:rsidP="001012F5">
      <w:pPr>
        <w:rPr>
          <w:sz w:val="44"/>
          <w:szCs w:val="44"/>
        </w:rPr>
      </w:pPr>
    </w:p>
    <w:p w:rsidR="0069431E" w:rsidRDefault="0069431E" w:rsidP="001012F5">
      <w:pPr>
        <w:rPr>
          <w:sz w:val="44"/>
          <w:szCs w:val="44"/>
        </w:rPr>
      </w:pPr>
    </w:p>
    <w:p w:rsidR="004E6D8F" w:rsidRDefault="004E6D8F" w:rsidP="001012F5">
      <w:pPr>
        <w:rPr>
          <w:sz w:val="44"/>
          <w:szCs w:val="44"/>
        </w:rPr>
      </w:pPr>
    </w:p>
    <w:p w:rsidR="004E6D8F" w:rsidRDefault="004E6D8F" w:rsidP="001012F5">
      <w:pPr>
        <w:rPr>
          <w:sz w:val="44"/>
          <w:szCs w:val="44"/>
        </w:rPr>
      </w:pPr>
    </w:p>
    <w:p w:rsidR="004E6D8F" w:rsidRDefault="004E6D8F" w:rsidP="001012F5">
      <w:pPr>
        <w:rPr>
          <w:sz w:val="44"/>
          <w:szCs w:val="44"/>
        </w:rPr>
      </w:pPr>
    </w:p>
    <w:p w:rsidR="004E6D8F" w:rsidRDefault="004E6D8F" w:rsidP="001012F5">
      <w:pPr>
        <w:rPr>
          <w:sz w:val="44"/>
          <w:szCs w:val="44"/>
        </w:rPr>
      </w:pPr>
    </w:p>
    <w:p w:rsidR="004E6D8F" w:rsidRDefault="004E6D8F" w:rsidP="001012F5">
      <w:pPr>
        <w:rPr>
          <w:sz w:val="44"/>
          <w:szCs w:val="44"/>
        </w:rPr>
      </w:pPr>
    </w:p>
    <w:p w:rsidR="0069431E" w:rsidRDefault="0069431E" w:rsidP="001012F5">
      <w:pPr>
        <w:rPr>
          <w:sz w:val="44"/>
          <w:szCs w:val="44"/>
        </w:rPr>
      </w:pPr>
    </w:p>
    <w:p w:rsidR="0069431E" w:rsidRDefault="0069431E" w:rsidP="001012F5">
      <w:pPr>
        <w:rPr>
          <w:sz w:val="44"/>
          <w:szCs w:val="44"/>
        </w:rPr>
      </w:pPr>
    </w:p>
    <w:tbl>
      <w:tblPr>
        <w:tblpPr w:leftFromText="141" w:rightFromText="141" w:vertAnchor="text" w:horzAnchor="margin" w:tblpXSpec="center" w:tblpY="7"/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1626"/>
        <w:gridCol w:w="1626"/>
        <w:gridCol w:w="1626"/>
        <w:gridCol w:w="1322"/>
        <w:gridCol w:w="1593"/>
      </w:tblGrid>
      <w:tr w:rsidR="003C3674" w:rsidRPr="0089738E" w:rsidTr="003C3674">
        <w:trPr>
          <w:trHeight w:val="315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74" w:rsidRPr="004E18B1" w:rsidRDefault="003C3674" w:rsidP="003C367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4E18B1">
              <w:rPr>
                <w:rFonts w:ascii="Arial" w:hAnsi="Arial" w:cs="Arial"/>
                <w:b/>
                <w:bCs/>
                <w:noProof/>
                <w:lang w:eastAsia="es-D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85725</wp:posOffset>
                  </wp:positionV>
                  <wp:extent cx="619125" cy="666750"/>
                  <wp:effectExtent l="0" t="0" r="0" b="0"/>
                  <wp:wrapNone/>
                  <wp:docPr id="3" name="Imagen 2" descr="Imagen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18B1">
              <w:rPr>
                <w:rFonts w:ascii="Arial" w:hAnsi="Arial" w:cs="Arial"/>
                <w:b/>
                <w:bCs/>
                <w:noProof/>
                <w:lang w:eastAsia="es-DO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85725</wp:posOffset>
                  </wp:positionV>
                  <wp:extent cx="619125" cy="666750"/>
                  <wp:effectExtent l="0" t="0" r="0" b="0"/>
                  <wp:wrapNone/>
                  <wp:docPr id="4" name="Imagen 1" descr="Imagen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6D8F">
              <w:rPr>
                <w:rFonts w:ascii="Arial" w:hAnsi="Arial" w:cs="Arial"/>
                <w:b/>
                <w:bCs/>
                <w:lang w:val="es-ES"/>
              </w:rPr>
              <w:t>CUADRO N</w:t>
            </w:r>
            <w:r w:rsidRPr="004E18B1">
              <w:rPr>
                <w:rFonts w:ascii="Arial" w:hAnsi="Arial" w:cs="Arial"/>
                <w:b/>
                <w:bCs/>
                <w:lang w:val="es-ES"/>
              </w:rPr>
              <w:t>o.5</w:t>
            </w:r>
          </w:p>
          <w:tbl>
            <w:tblPr>
              <w:tblW w:w="978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3C3674" w:rsidRPr="0089738E" w:rsidTr="003C3674">
              <w:trPr>
                <w:trHeight w:val="315"/>
                <w:tblCellSpacing w:w="0" w:type="dxa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3674" w:rsidRPr="0089738E" w:rsidRDefault="003C3674" w:rsidP="00C30B05">
                  <w:pPr>
                    <w:framePr w:hSpace="141" w:wrap="around" w:vAnchor="text" w:hAnchor="margin" w:xAlign="center" w:y="7"/>
                    <w:jc w:val="center"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  <w:r w:rsidRPr="0089738E">
                    <w:rPr>
                      <w:rFonts w:ascii="Arial" w:hAnsi="Arial" w:cs="Arial"/>
                      <w:b/>
                      <w:bCs/>
                      <w:lang w:val="es-ES"/>
                    </w:rPr>
                    <w:t>Mercado Asegurador Dominicano</w:t>
                  </w:r>
                </w:p>
              </w:tc>
            </w:tr>
          </w:tbl>
          <w:p w:rsidR="003C3674" w:rsidRPr="0089738E" w:rsidRDefault="003C3674" w:rsidP="003C3674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3C3674" w:rsidRPr="0089738E" w:rsidTr="003C3674">
        <w:trPr>
          <w:trHeight w:val="300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lang w:val="es-ES"/>
              </w:rPr>
              <w:t>Primas Netas y Exoneradas por Ramos y Porcentajes</w:t>
            </w:r>
          </w:p>
        </w:tc>
      </w:tr>
      <w:tr w:rsidR="003C3674" w:rsidRPr="0089738E" w:rsidTr="003C3674">
        <w:trPr>
          <w:trHeight w:val="300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lang w:val="es-ES"/>
              </w:rPr>
              <w:t>Empresas Aseguradoras</w:t>
            </w:r>
          </w:p>
        </w:tc>
      </w:tr>
      <w:tr w:rsidR="003C3674" w:rsidRPr="0089738E" w:rsidTr="003C3674">
        <w:trPr>
          <w:trHeight w:val="300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lang w:val="es-ES"/>
              </w:rPr>
              <w:t>(Valores en RD$)</w:t>
            </w:r>
          </w:p>
        </w:tc>
      </w:tr>
      <w:tr w:rsidR="003C3674" w:rsidRPr="0089738E" w:rsidTr="003C3674">
        <w:trPr>
          <w:trHeight w:val="300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lang w:val="es-ES"/>
              </w:rPr>
              <w:t>Año 2018*</w:t>
            </w:r>
          </w:p>
        </w:tc>
      </w:tr>
      <w:tr w:rsidR="003C3674" w:rsidRPr="0089738E" w:rsidTr="003C3674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rPr>
                <w:lang w:val="es-E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rPr>
                <w:lang w:val="es-E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rPr>
                <w:lang w:val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rPr>
                <w:lang w:val="es-E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rPr>
                <w:lang w:val="es-ES"/>
              </w:rPr>
            </w:pPr>
          </w:p>
        </w:tc>
      </w:tr>
      <w:tr w:rsidR="003C3674" w:rsidRPr="0089738E" w:rsidTr="003C3674">
        <w:trPr>
          <w:trHeight w:val="450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lang w:val="es-ES"/>
              </w:rPr>
              <w:t>Ramos de Seguros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lang w:val="es-ES"/>
              </w:rPr>
              <w:t>Primas Netas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lang w:val="es-ES"/>
              </w:rPr>
              <w:t>Primas Exoneradas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lang w:val="es-ES"/>
              </w:rPr>
              <w:t>Totales Primas Netas y Exoneradas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lang w:val="es-ES"/>
              </w:rPr>
              <w:t>Porcentaje (%) Primas Exoneradas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lang w:val="es-ES"/>
              </w:rPr>
              <w:t>Impuesto 16% dejado de percibir por el estado por Ramos</w:t>
            </w:r>
          </w:p>
        </w:tc>
      </w:tr>
      <w:tr w:rsidR="003C3674" w:rsidRPr="0089738E" w:rsidTr="003C3674">
        <w:trPr>
          <w:trHeight w:val="870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4" w:rsidRPr="0089738E" w:rsidRDefault="003C3674" w:rsidP="003C3674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4" w:rsidRPr="0089738E" w:rsidRDefault="003C3674" w:rsidP="003C3674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4" w:rsidRPr="0089738E" w:rsidRDefault="003C3674" w:rsidP="003C3674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4" w:rsidRPr="0089738E" w:rsidRDefault="003C3674" w:rsidP="003C3674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4" w:rsidRPr="0089738E" w:rsidRDefault="003C3674" w:rsidP="003C3674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4" w:rsidRPr="0089738E" w:rsidRDefault="003C3674" w:rsidP="003C3674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3C3674" w:rsidRPr="0089738E" w:rsidTr="003C3674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Vida Individual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207.174.171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69.058.057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276.232.228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11.049.289</w:t>
            </w:r>
          </w:p>
        </w:tc>
      </w:tr>
      <w:tr w:rsidR="003C3674" w:rsidRPr="0089738E" w:rsidTr="003C3674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Vida Colectivo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6.706.448.183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2.235.482.728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8.941.930.911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3,97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357.677.236</w:t>
            </w:r>
          </w:p>
        </w:tc>
      </w:tr>
      <w:tr w:rsidR="003C3674" w:rsidRPr="0089738E" w:rsidTr="003C3674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Salud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9.856.030.394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3.285.343.465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13.141.373.859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5,84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525.654.954</w:t>
            </w:r>
          </w:p>
        </w:tc>
      </w:tr>
      <w:tr w:rsidR="003C3674" w:rsidRPr="0089738E" w:rsidTr="003C3674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Accidentes Personales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454.241.162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151.413.721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605.654.882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0,27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24.226.195</w:t>
            </w:r>
          </w:p>
        </w:tc>
      </w:tr>
      <w:tr w:rsidR="003C3674" w:rsidRPr="0089738E" w:rsidTr="003C3674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Incendio y Aliados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9.820.317.729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3.273.439.243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13.093.756.972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5,82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523.750.279</w:t>
            </w:r>
          </w:p>
        </w:tc>
      </w:tr>
      <w:tr w:rsidR="003C3674" w:rsidRPr="0089738E" w:rsidTr="003C3674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Naves Marítimas y Aéreas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355.955.997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118.651.999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474.607.996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18.984.320</w:t>
            </w:r>
          </w:p>
        </w:tc>
      </w:tr>
      <w:tr w:rsidR="003C3674" w:rsidRPr="0089738E" w:rsidTr="003C3674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Transporte de Carga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491.960.383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163.986.794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655.947.177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26.237.887</w:t>
            </w:r>
          </w:p>
        </w:tc>
      </w:tr>
      <w:tr w:rsidR="003C3674" w:rsidRPr="0089738E" w:rsidTr="003C3674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Vehículos de Motor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11.019.751.553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3.673.250.518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14.693.002.070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6,53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587.720.083</w:t>
            </w:r>
          </w:p>
        </w:tc>
      </w:tr>
      <w:tr w:rsidR="003C3674" w:rsidRPr="0089738E" w:rsidTr="003C3674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Agrícola y Pecuario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284.951.104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94.983.701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379.934.806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15.197.392</w:t>
            </w:r>
          </w:p>
        </w:tc>
      </w:tr>
      <w:tr w:rsidR="003C3674" w:rsidRPr="0089738E" w:rsidTr="003C3674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Fianzas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842.588.553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280.862.851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1.123.451.404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44.938.056</w:t>
            </w:r>
          </w:p>
        </w:tc>
      </w:tr>
      <w:tr w:rsidR="003C3674" w:rsidRPr="0089738E" w:rsidTr="003C3674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Otros Seguros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2.155.988.739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718.662.913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2.874.651.652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1,28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114.986.066</w:t>
            </w:r>
          </w:p>
        </w:tc>
      </w:tr>
      <w:tr w:rsidR="003C3674" w:rsidRPr="0089738E" w:rsidTr="003C3674">
        <w:trPr>
          <w:trHeight w:val="36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C3674" w:rsidRPr="0089738E" w:rsidRDefault="003C3674" w:rsidP="003C3674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lang w:val="es-ES"/>
              </w:rPr>
              <w:t>Total General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lang w:val="es-ES"/>
              </w:rPr>
              <w:t>42.195.407.968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lang w:val="es-ES"/>
              </w:rPr>
              <w:t>14.065.135.989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lang w:val="es-ES"/>
              </w:rPr>
              <w:t>56.260.543.958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lang w:val="es-ES"/>
              </w:rPr>
              <w:t>25,00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lang w:val="es-ES"/>
              </w:rPr>
              <w:t>2.250.421.758</w:t>
            </w:r>
          </w:p>
        </w:tc>
      </w:tr>
      <w:tr w:rsidR="003C3674" w:rsidRPr="0089738E" w:rsidTr="003C3674">
        <w:trPr>
          <w:trHeight w:val="315"/>
        </w:trPr>
        <w:tc>
          <w:tcPr>
            <w:tcW w:w="5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9738E">
              <w:rPr>
                <w:rFonts w:ascii="Arial" w:hAnsi="Arial" w:cs="Arial"/>
                <w:sz w:val="14"/>
                <w:szCs w:val="14"/>
                <w:lang w:val="es-ES"/>
              </w:rPr>
              <w:t>Fuente: Superintendencia de Seguros, Departamento de Análisis y Estadísticas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rPr>
                <w:lang w:val="es-E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74" w:rsidRPr="0089738E" w:rsidRDefault="003C3674" w:rsidP="003C3674">
            <w:pPr>
              <w:jc w:val="center"/>
              <w:rPr>
                <w:lang w:val="es-ES"/>
              </w:rPr>
            </w:pPr>
          </w:p>
        </w:tc>
      </w:tr>
    </w:tbl>
    <w:p w:rsidR="0069431E" w:rsidRDefault="0069431E" w:rsidP="001012F5">
      <w:pPr>
        <w:rPr>
          <w:sz w:val="44"/>
          <w:szCs w:val="44"/>
        </w:rPr>
      </w:pPr>
    </w:p>
    <w:p w:rsidR="0069431E" w:rsidRDefault="0069431E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4E18B1" w:rsidRDefault="004E18B1" w:rsidP="001012F5">
      <w:pPr>
        <w:rPr>
          <w:sz w:val="44"/>
          <w:szCs w:val="44"/>
        </w:rPr>
      </w:pPr>
    </w:p>
    <w:p w:rsidR="004E18B1" w:rsidRDefault="004E18B1" w:rsidP="001012F5">
      <w:pPr>
        <w:rPr>
          <w:sz w:val="44"/>
          <w:szCs w:val="44"/>
        </w:rPr>
      </w:pPr>
    </w:p>
    <w:p w:rsidR="004E18B1" w:rsidRDefault="004E18B1" w:rsidP="001012F5">
      <w:pPr>
        <w:rPr>
          <w:sz w:val="44"/>
          <w:szCs w:val="44"/>
        </w:rPr>
      </w:pPr>
    </w:p>
    <w:p w:rsidR="004E18B1" w:rsidRDefault="004E18B1" w:rsidP="001012F5">
      <w:pPr>
        <w:rPr>
          <w:sz w:val="44"/>
          <w:szCs w:val="44"/>
        </w:rPr>
      </w:pPr>
    </w:p>
    <w:tbl>
      <w:tblPr>
        <w:tblpPr w:leftFromText="141" w:rightFromText="141" w:vertAnchor="text" w:horzAnchor="margin" w:tblpXSpec="center" w:tblpY="-181"/>
        <w:tblW w:w="113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3348"/>
        <w:gridCol w:w="1536"/>
        <w:gridCol w:w="1395"/>
        <w:gridCol w:w="1394"/>
        <w:gridCol w:w="1310"/>
        <w:gridCol w:w="1402"/>
      </w:tblGrid>
      <w:tr w:rsidR="004E18B1" w:rsidRPr="0089738E" w:rsidTr="004E18B1">
        <w:trPr>
          <w:trHeight w:val="347"/>
        </w:trPr>
        <w:tc>
          <w:tcPr>
            <w:tcW w:w="11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B1" w:rsidRPr="004E18B1" w:rsidRDefault="004E18B1" w:rsidP="004E18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4E18B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DO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114300</wp:posOffset>
                  </wp:positionV>
                  <wp:extent cx="828675" cy="771525"/>
                  <wp:effectExtent l="0" t="0" r="0" b="0"/>
                  <wp:wrapNone/>
                  <wp:docPr id="6" name="Imagen 4" descr="Imagen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7" descr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18B1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CUADRO no. 6</w:t>
            </w:r>
          </w:p>
          <w:tbl>
            <w:tblPr>
              <w:tblW w:w="1091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11"/>
            </w:tblGrid>
            <w:tr w:rsidR="004E18B1" w:rsidRPr="0089738E" w:rsidTr="004E18B1">
              <w:trPr>
                <w:trHeight w:val="347"/>
                <w:tblCellSpacing w:w="0" w:type="dxa"/>
              </w:trPr>
              <w:tc>
                <w:tcPr>
                  <w:tcW w:w="10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8B1" w:rsidRPr="0089738E" w:rsidRDefault="004E18B1" w:rsidP="00C30B05">
                  <w:pPr>
                    <w:framePr w:hSpace="141" w:wrap="around" w:vAnchor="text" w:hAnchor="margin" w:xAlign="center" w:y="-181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</w:pPr>
                  <w:r w:rsidRPr="0089738E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  <w:t>Mercado Asegurador Dominicano</w:t>
                  </w:r>
                </w:p>
              </w:tc>
            </w:tr>
          </w:tbl>
          <w:p w:rsidR="004E18B1" w:rsidRPr="0089738E" w:rsidRDefault="004E18B1" w:rsidP="004E18B1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4E18B1" w:rsidRPr="0089738E" w:rsidTr="004E18B1">
        <w:trPr>
          <w:trHeight w:val="288"/>
        </w:trPr>
        <w:tc>
          <w:tcPr>
            <w:tcW w:w="11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lang w:val="es-ES"/>
              </w:rPr>
              <w:t>Primas Netas y Exoneradas por Compañías y Porcentajes</w:t>
            </w:r>
          </w:p>
        </w:tc>
      </w:tr>
      <w:tr w:rsidR="004E18B1" w:rsidRPr="0089738E" w:rsidTr="004E18B1">
        <w:trPr>
          <w:trHeight w:val="288"/>
        </w:trPr>
        <w:tc>
          <w:tcPr>
            <w:tcW w:w="11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lang w:val="es-ES"/>
              </w:rPr>
              <w:t>Empresas Aseguradoras</w:t>
            </w:r>
          </w:p>
        </w:tc>
      </w:tr>
      <w:tr w:rsidR="004E18B1" w:rsidRPr="0089738E" w:rsidTr="004E18B1">
        <w:trPr>
          <w:trHeight w:val="288"/>
        </w:trPr>
        <w:tc>
          <w:tcPr>
            <w:tcW w:w="11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lang w:val="es-ES"/>
              </w:rPr>
              <w:t>(Valores en RD$)</w:t>
            </w:r>
          </w:p>
        </w:tc>
      </w:tr>
      <w:tr w:rsidR="004E18B1" w:rsidRPr="0089738E" w:rsidTr="004E18B1">
        <w:trPr>
          <w:trHeight w:val="288"/>
        </w:trPr>
        <w:tc>
          <w:tcPr>
            <w:tcW w:w="11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lang w:val="es-ES"/>
              </w:rPr>
              <w:t>Año 2018*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lang w:val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lang w:val="es-E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lang w:val="es-E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lang w:val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lang w:val="es-E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lang w:val="es-ES"/>
              </w:rPr>
            </w:pPr>
          </w:p>
        </w:tc>
      </w:tr>
      <w:tr w:rsidR="004E18B1" w:rsidRPr="0089738E" w:rsidTr="004E18B1">
        <w:trPr>
          <w:trHeight w:val="621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lang w:val="es-ES"/>
              </w:rPr>
              <w:t>Posición 2018*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lang w:val="es-ES"/>
              </w:rPr>
              <w:t>Compañías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lang w:val="es-ES"/>
              </w:rPr>
              <w:t xml:space="preserve">Primas Netas 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lang w:val="es-ES"/>
              </w:rPr>
              <w:t>Primas Exoneradas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lang w:val="es-ES"/>
              </w:rPr>
              <w:t>Totales Primas Netas y Exoneradas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lang w:val="es-ES"/>
              </w:rPr>
              <w:t>Porcentaje (%) Primas Exoneradas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lang w:val="es-ES"/>
              </w:rPr>
              <w:t xml:space="preserve">Impuesto 16% dejado de percibir por el estado por </w:t>
            </w:r>
            <w:r w:rsidR="00426DAF" w:rsidRPr="0089738E">
              <w:rPr>
                <w:rFonts w:ascii="Arial" w:hAnsi="Arial" w:cs="Arial"/>
                <w:b/>
                <w:bCs/>
                <w:lang w:val="es-ES"/>
              </w:rPr>
              <w:t>Coas</w:t>
            </w:r>
          </w:p>
        </w:tc>
      </w:tr>
      <w:tr w:rsidR="004E18B1" w:rsidRPr="0089738E" w:rsidTr="004E18B1">
        <w:trPr>
          <w:trHeight w:val="621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Seguros Universal, S. A.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9.075.627.884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3.025.209.295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12.100.837.179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5,38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484.033.487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Humano Seguros, S. A.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6.158.914.920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2.052.971.640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8.211.886.561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328.475.462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Seguros Reservas, S. A.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6.036.959.695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2.012.319.898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8.049.279.593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3,58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321.971.184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MAPFRE BHD Cía. de Seguros, S. A.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5.321.876.151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1.773.958.717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7.095.834.868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3,15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283.833.395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La Colonial de Seguros, S. A.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3.550.032.474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1.183.344.158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4.733.376.631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2,10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189.335.065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Seguros Sura, S. A.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3.009.135.394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1.003.045.131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4.012.180.525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1,78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160.487.221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 xml:space="preserve">Seguros </w:t>
            </w:r>
            <w:proofErr w:type="spellStart"/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Worldwide</w:t>
            </w:r>
            <w:proofErr w:type="spellEnd"/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, S. A.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1.498.747.259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499.582.420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1.998.329.679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0,89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79.933.187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Scotia</w:t>
            </w:r>
            <w:proofErr w:type="spellEnd"/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 xml:space="preserve"> Seguros, S. A.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1.097.991.423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365.997.141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1.463.988.564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58.559.543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General de Seguros, S. A.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1.088.096.482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362.698.827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1.450.795.309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58.031.812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La Monumental de Seguros, S. A.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783.111.052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261.037.017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1.044.148.069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0,46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41.765.923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Seguros Pepín, S. A.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686.623.673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228.874.558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915.498.230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0,41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36.619.929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Atlántica Seguros, S. A.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484.497.936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161.499.312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645.997.248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25.839.890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13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Patria, S. A. Compañía de Seguros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396.635.326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132.211.775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528.847.101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21.153.884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Compañía Dominicana de Seguros, S.R.L.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373.818.160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124.606.053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498.424.213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19.936.969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15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Banesco Seguros, S.A.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357.085.760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119.028.587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476.114.347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19.044.574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16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Asegura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dora Agropecuaria Dominicana. S</w:t>
            </w: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 xml:space="preserve"> A.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310.622.200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103.540.733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414.162.934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16.566.517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17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Cooperativa Nacional de Seguros, Inc.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291.179.583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97.059.861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388.239.443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15.529.578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Angloamericana de Seguros, S. A.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248.936.486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82.978.829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331.915.314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13.276.613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19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Seguros La Internacional, S. A.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216.291.669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72.097.223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288.388.892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11.535.556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20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Bupa</w:t>
            </w:r>
            <w:proofErr w:type="spellEnd"/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 xml:space="preserve"> Dominicana, S.A.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208.335.084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69.445.028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277.780.112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11.111.204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21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 xml:space="preserve">Cuna Mutual </w:t>
            </w:r>
            <w:proofErr w:type="spellStart"/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InsuranceSociety</w:t>
            </w:r>
            <w:proofErr w:type="spellEnd"/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 xml:space="preserve"> Dominicana, S.A.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198.470.174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66.156.725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264.626.899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10.585.076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22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BMI Compañía de Seguros, S. A.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182.621.091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60.873.697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243.494.788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9.739.792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23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Amigos Compañía de Seguros, S. A.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111.200.309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37.066.770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148.267.079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5.930.683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 xml:space="preserve">Seguros </w:t>
            </w:r>
            <w:proofErr w:type="spellStart"/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Ademi</w:t>
            </w:r>
            <w:proofErr w:type="spellEnd"/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 xml:space="preserve">, S.A.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97.703.180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32.567.727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130.270.906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5.210.836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Seguros Cibao, S.R.L.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93.901.871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31.300.624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125.202.495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5.008.100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26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Confederación del Canadá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Dominicana. S.</w:t>
            </w: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A.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92.867.540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30.955.847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123.823.387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4.952.935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27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Seguros APS, SRL.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74.134.678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24.711.559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98.846.238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3.953.850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28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La Comercial de Seguros, S. A.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59.208.453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19.736.151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78.944.604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3.157.784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29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Autoseguro</w:t>
            </w:r>
            <w:proofErr w:type="spellEnd"/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, S. A.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50.245.183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16.748.394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66.993.577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2.679.743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30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Atrio Seguros, S.A.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34.047.925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11.349.308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45.397.233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1.815.889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31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MultiSegurosMehr</w:t>
            </w:r>
            <w:proofErr w:type="spellEnd"/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 xml:space="preserve">, S. A.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6.488.953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2.162.984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sz w:val="16"/>
                <w:szCs w:val="16"/>
                <w:lang w:val="es-ES"/>
              </w:rPr>
              <w:t>8.651.938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9738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346.078</w:t>
            </w:r>
          </w:p>
        </w:tc>
      </w:tr>
      <w:tr w:rsidR="004E18B1" w:rsidRPr="0089738E" w:rsidTr="004E18B1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Total General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42.195.407.968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14.065.135.989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56.260.543.957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E18B1" w:rsidRPr="0089738E" w:rsidRDefault="004E18B1" w:rsidP="004E18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9738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2.250.421.758</w:t>
            </w:r>
          </w:p>
        </w:tc>
      </w:tr>
      <w:tr w:rsidR="004E18B1" w:rsidRPr="0089738E" w:rsidTr="004E18B1">
        <w:trPr>
          <w:trHeight w:val="288"/>
        </w:trPr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9738E">
              <w:rPr>
                <w:rFonts w:ascii="Arial" w:hAnsi="Arial" w:cs="Arial"/>
                <w:sz w:val="14"/>
                <w:szCs w:val="14"/>
                <w:lang w:val="es-ES"/>
              </w:rPr>
              <w:t>Fuente: Superintendencia de Seguros, Departamento de Análisis y Estadísticas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lang w:val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lang w:val="es-E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B1" w:rsidRPr="0089738E" w:rsidRDefault="004E18B1" w:rsidP="004E18B1">
            <w:pPr>
              <w:jc w:val="center"/>
              <w:rPr>
                <w:lang w:val="es-ES"/>
              </w:rPr>
            </w:pPr>
          </w:p>
        </w:tc>
      </w:tr>
    </w:tbl>
    <w:p w:rsidR="004E18B1" w:rsidRDefault="004E18B1" w:rsidP="001012F5">
      <w:pPr>
        <w:rPr>
          <w:sz w:val="44"/>
          <w:szCs w:val="44"/>
        </w:rPr>
      </w:pPr>
    </w:p>
    <w:p w:rsidR="00193E07" w:rsidRPr="004E18B1" w:rsidRDefault="00193E07" w:rsidP="001012F5">
      <w:pPr>
        <w:rPr>
          <w:sz w:val="44"/>
          <w:szCs w:val="44"/>
          <w:lang w:val="es-ES"/>
        </w:rPr>
      </w:pPr>
    </w:p>
    <w:p w:rsidR="00193E07" w:rsidRDefault="00193E07" w:rsidP="001012F5">
      <w:pPr>
        <w:rPr>
          <w:sz w:val="44"/>
          <w:szCs w:val="44"/>
        </w:rPr>
      </w:pPr>
    </w:p>
    <w:p w:rsidR="0039604A" w:rsidRDefault="0039604A" w:rsidP="001012F5">
      <w:pPr>
        <w:rPr>
          <w:sz w:val="44"/>
          <w:szCs w:val="44"/>
        </w:rPr>
      </w:pPr>
    </w:p>
    <w:p w:rsidR="0039604A" w:rsidRDefault="0039604A" w:rsidP="001012F5">
      <w:pPr>
        <w:rPr>
          <w:sz w:val="44"/>
          <w:szCs w:val="44"/>
        </w:rPr>
      </w:pPr>
    </w:p>
    <w:p w:rsidR="004E18B1" w:rsidRDefault="004E18B1" w:rsidP="001012F5">
      <w:pPr>
        <w:rPr>
          <w:sz w:val="44"/>
          <w:szCs w:val="44"/>
        </w:rPr>
      </w:pPr>
    </w:p>
    <w:p w:rsidR="004E18B1" w:rsidRDefault="004E18B1" w:rsidP="001012F5">
      <w:pPr>
        <w:rPr>
          <w:sz w:val="44"/>
          <w:szCs w:val="44"/>
        </w:rPr>
      </w:pPr>
    </w:p>
    <w:tbl>
      <w:tblPr>
        <w:tblpPr w:leftFromText="141" w:rightFromText="141" w:vertAnchor="text" w:horzAnchor="margin" w:tblpXSpec="center" w:tblpY="419"/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840"/>
        <w:gridCol w:w="2060"/>
        <w:gridCol w:w="1820"/>
        <w:gridCol w:w="1320"/>
      </w:tblGrid>
      <w:tr w:rsidR="0039604A" w:rsidRPr="001E597A" w:rsidTr="0039604A">
        <w:trPr>
          <w:trHeight w:val="319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4E6D8F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lang w:eastAsia="es-DO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57785</wp:posOffset>
                  </wp:positionV>
                  <wp:extent cx="697230" cy="685800"/>
                  <wp:effectExtent l="19050" t="0" r="7620" b="0"/>
                  <wp:wrapNone/>
                  <wp:docPr id="1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56" name="Picture 7" descr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CUADRO </w:t>
            </w:r>
            <w:r w:rsidR="004E6D8F">
              <w:rPr>
                <w:rFonts w:ascii="Arial" w:hAnsi="Arial" w:cs="Arial"/>
                <w:b/>
                <w:bCs/>
                <w:lang w:val="es-ES"/>
              </w:rPr>
              <w:t>N</w:t>
            </w:r>
            <w:r>
              <w:rPr>
                <w:rFonts w:ascii="Arial" w:hAnsi="Arial" w:cs="Arial"/>
                <w:b/>
                <w:bCs/>
                <w:lang w:val="es-ES"/>
              </w:rPr>
              <w:t>o.7</w:t>
            </w:r>
          </w:p>
        </w:tc>
      </w:tr>
      <w:tr w:rsidR="0039604A" w:rsidRPr="001E597A" w:rsidTr="0039604A">
        <w:trPr>
          <w:trHeight w:val="415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E597A">
              <w:rPr>
                <w:rFonts w:ascii="Arial" w:hAnsi="Arial" w:cs="Arial"/>
                <w:b/>
                <w:bCs/>
                <w:lang w:val="es-ES"/>
              </w:rPr>
              <w:t>Principales Indicadores Financieros y Estadísticos</w:t>
            </w:r>
          </w:p>
        </w:tc>
      </w:tr>
      <w:tr w:rsidR="0039604A" w:rsidRPr="001E597A" w:rsidTr="0039604A">
        <w:trPr>
          <w:trHeight w:val="319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2016-2017</w:t>
            </w:r>
          </w:p>
        </w:tc>
      </w:tr>
      <w:tr w:rsidR="0039604A" w:rsidRPr="001E597A" w:rsidTr="0039604A">
        <w:trPr>
          <w:trHeight w:val="319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E597A">
              <w:rPr>
                <w:rFonts w:ascii="Arial" w:hAnsi="Arial" w:cs="Arial"/>
                <w:b/>
                <w:bCs/>
                <w:lang w:val="es-ES"/>
              </w:rPr>
              <w:t>(Valores en RD$)</w:t>
            </w:r>
          </w:p>
        </w:tc>
      </w:tr>
      <w:tr w:rsidR="0039604A" w:rsidRPr="001E597A" w:rsidTr="0039604A">
        <w:trPr>
          <w:trHeight w:val="319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9604A" w:rsidRPr="001E597A" w:rsidRDefault="0039604A" w:rsidP="0039604A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E597A">
              <w:rPr>
                <w:rFonts w:ascii="Arial" w:hAnsi="Arial" w:cs="Arial"/>
                <w:b/>
                <w:bCs/>
                <w:lang w:val="es-ES"/>
              </w:rPr>
              <w:t>Concepto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9604A" w:rsidRPr="001E597A" w:rsidRDefault="0039604A" w:rsidP="0039604A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E597A">
              <w:rPr>
                <w:rFonts w:ascii="Arial" w:hAnsi="Arial" w:cs="Arial"/>
                <w:b/>
                <w:bCs/>
                <w:lang w:val="es-ES"/>
              </w:rPr>
              <w:t>Años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9604A" w:rsidRPr="001E597A" w:rsidRDefault="0039604A" w:rsidP="0039604A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E597A">
              <w:rPr>
                <w:rFonts w:ascii="Arial" w:hAnsi="Arial" w:cs="Arial"/>
                <w:b/>
                <w:bCs/>
                <w:lang w:val="es-ES"/>
              </w:rPr>
              <w:t>Variación</w:t>
            </w:r>
          </w:p>
        </w:tc>
      </w:tr>
      <w:tr w:rsidR="0039604A" w:rsidRPr="001E597A" w:rsidTr="0039604A">
        <w:trPr>
          <w:trHeight w:val="319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A" w:rsidRPr="001E597A" w:rsidRDefault="0039604A" w:rsidP="0039604A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9604A" w:rsidRPr="001E597A" w:rsidRDefault="0039604A" w:rsidP="0039604A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E597A">
              <w:rPr>
                <w:rFonts w:ascii="Arial" w:hAnsi="Arial" w:cs="Arial"/>
                <w:b/>
                <w:bCs/>
                <w:lang w:val="es-ES"/>
              </w:rPr>
              <w:t>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9604A" w:rsidRPr="001E597A" w:rsidRDefault="0039604A" w:rsidP="0039604A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E597A">
              <w:rPr>
                <w:rFonts w:ascii="Arial" w:hAnsi="Arial" w:cs="Arial"/>
                <w:b/>
                <w:bCs/>
                <w:lang w:val="es-ES"/>
              </w:rPr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9604A" w:rsidRPr="001E597A" w:rsidRDefault="0039604A" w:rsidP="0039604A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E597A">
              <w:rPr>
                <w:rFonts w:ascii="Arial" w:hAnsi="Arial" w:cs="Arial"/>
                <w:b/>
                <w:bCs/>
                <w:lang w:val="es-ES"/>
              </w:rPr>
              <w:t>Absoluta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9604A" w:rsidRPr="001E597A" w:rsidRDefault="0039604A" w:rsidP="0039604A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E597A">
              <w:rPr>
                <w:rFonts w:ascii="Arial" w:hAnsi="Arial" w:cs="Arial"/>
                <w:b/>
                <w:bCs/>
                <w:lang w:val="es-ES"/>
              </w:rPr>
              <w:t>Relativa (%)</w:t>
            </w:r>
          </w:p>
        </w:tc>
      </w:tr>
      <w:tr w:rsidR="0039604A" w:rsidRPr="001E597A" w:rsidTr="0039604A">
        <w:trPr>
          <w:trHeight w:val="31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1E597A">
              <w:rPr>
                <w:rFonts w:ascii="Arial" w:hAnsi="Arial" w:cs="Arial"/>
                <w:b/>
                <w:bCs/>
                <w:lang w:val="es-ES"/>
              </w:rPr>
              <w:t>Primas Netas Cobradas (1)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40.759.732.784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49.354.243.790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8.594.511.006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21,09</w:t>
            </w:r>
          </w:p>
        </w:tc>
      </w:tr>
      <w:tr w:rsidR="0039604A" w:rsidRPr="001E597A" w:rsidTr="0039604A">
        <w:trPr>
          <w:trHeight w:val="31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4A" w:rsidRPr="001E597A" w:rsidRDefault="0039604A" w:rsidP="0039604A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E597A">
              <w:rPr>
                <w:rFonts w:ascii="Arial" w:hAnsi="Arial" w:cs="Arial"/>
                <w:b/>
                <w:bCs/>
                <w:lang w:val="es-E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b/>
                <w:bCs/>
                <w:lang w:val="es-ES"/>
              </w:rPr>
            </w:pPr>
            <w:r w:rsidRPr="001E597A">
              <w:rPr>
                <w:rFonts w:ascii="Arial" w:hAnsi="Arial" w:cs="Arial"/>
                <w:b/>
                <w:bCs/>
                <w:lang w:val="es-E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1E597A">
              <w:rPr>
                <w:rFonts w:ascii="Arial" w:hAnsi="Arial" w:cs="Arial"/>
                <w:color w:val="000000"/>
                <w:lang w:val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 </w:t>
            </w:r>
          </w:p>
        </w:tc>
      </w:tr>
      <w:tr w:rsidR="0039604A" w:rsidRPr="001E597A" w:rsidTr="0039604A">
        <w:trPr>
          <w:trHeight w:val="31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1E597A">
              <w:rPr>
                <w:rFonts w:ascii="Arial" w:hAnsi="Arial" w:cs="Arial"/>
                <w:b/>
                <w:bCs/>
                <w:lang w:val="es-ES"/>
              </w:rPr>
              <w:t>Balance General (2)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1E597A">
              <w:rPr>
                <w:rFonts w:ascii="Arial" w:hAnsi="Arial" w:cs="Arial"/>
                <w:color w:val="000000"/>
                <w:lang w:val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 </w:t>
            </w:r>
          </w:p>
        </w:tc>
      </w:tr>
      <w:tr w:rsidR="0039604A" w:rsidRPr="001E597A" w:rsidTr="0039604A">
        <w:trPr>
          <w:trHeight w:val="31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Activos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52.191.494.383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1E597A">
              <w:rPr>
                <w:rFonts w:ascii="Arial" w:hAnsi="Arial" w:cs="Arial"/>
                <w:color w:val="000000"/>
                <w:lang w:val="es-ES"/>
              </w:rPr>
              <w:t xml:space="preserve">         59.140.127.422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6.948.633.039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13,31</w:t>
            </w:r>
          </w:p>
        </w:tc>
      </w:tr>
      <w:tr w:rsidR="0039604A" w:rsidRPr="001E597A" w:rsidTr="0039604A">
        <w:trPr>
          <w:trHeight w:val="31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Inversiones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24.998.127.992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1E597A">
              <w:rPr>
                <w:rFonts w:ascii="Arial" w:hAnsi="Arial" w:cs="Arial"/>
                <w:color w:val="000000"/>
                <w:lang w:val="es-ES"/>
              </w:rPr>
              <w:t xml:space="preserve">         27.461.670.113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2.463.542.121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9,85</w:t>
            </w:r>
          </w:p>
        </w:tc>
      </w:tr>
      <w:tr w:rsidR="0039604A" w:rsidRPr="001E597A" w:rsidTr="0039604A">
        <w:trPr>
          <w:trHeight w:val="31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Pasivos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37.256.517.153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1E597A">
              <w:rPr>
                <w:rFonts w:ascii="Arial" w:hAnsi="Arial" w:cs="Arial"/>
                <w:color w:val="000000"/>
                <w:lang w:val="es-ES"/>
              </w:rPr>
              <w:t xml:space="preserve">         42.790.872.177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5.534.355.024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14,85</w:t>
            </w:r>
          </w:p>
        </w:tc>
      </w:tr>
      <w:tr w:rsidR="0039604A" w:rsidRPr="001E597A" w:rsidTr="0039604A">
        <w:trPr>
          <w:trHeight w:val="31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Reservas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19.953.712.560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1E597A">
              <w:rPr>
                <w:rFonts w:ascii="Arial" w:hAnsi="Arial" w:cs="Arial"/>
                <w:color w:val="000000"/>
                <w:lang w:val="es-ES"/>
              </w:rPr>
              <w:t xml:space="preserve">         23.450.079.161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3.496.366.601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17,52</w:t>
            </w:r>
          </w:p>
        </w:tc>
      </w:tr>
      <w:tr w:rsidR="0039604A" w:rsidRPr="001E597A" w:rsidTr="0039604A">
        <w:trPr>
          <w:trHeight w:val="31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Patrimonio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14.934.977.240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1E597A">
              <w:rPr>
                <w:rFonts w:ascii="Arial" w:hAnsi="Arial" w:cs="Arial"/>
                <w:color w:val="000000"/>
                <w:lang w:val="es-ES"/>
              </w:rPr>
              <w:t xml:space="preserve">         16.349.255.248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1.414.278.008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9,47</w:t>
            </w:r>
          </w:p>
        </w:tc>
      </w:tr>
      <w:tr w:rsidR="0039604A" w:rsidRPr="001E597A" w:rsidTr="0039604A">
        <w:trPr>
          <w:trHeight w:val="31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1E597A">
              <w:rPr>
                <w:rFonts w:ascii="Arial" w:hAnsi="Arial" w:cs="Arial"/>
                <w:color w:val="000000"/>
                <w:lang w:val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 </w:t>
            </w:r>
          </w:p>
        </w:tc>
      </w:tr>
      <w:tr w:rsidR="0039604A" w:rsidRPr="001E597A" w:rsidTr="0039604A">
        <w:trPr>
          <w:trHeight w:val="31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1E597A">
              <w:rPr>
                <w:rFonts w:ascii="Arial" w:hAnsi="Arial" w:cs="Arial"/>
                <w:b/>
                <w:bCs/>
                <w:lang w:val="es-ES"/>
              </w:rPr>
              <w:t>Estados de Resultados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1E597A">
              <w:rPr>
                <w:rFonts w:ascii="Arial" w:hAnsi="Arial" w:cs="Arial"/>
                <w:color w:val="000000"/>
                <w:lang w:val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 </w:t>
            </w:r>
          </w:p>
        </w:tc>
      </w:tr>
      <w:tr w:rsidR="0039604A" w:rsidRPr="001E597A" w:rsidTr="0039604A">
        <w:trPr>
          <w:trHeight w:val="31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 xml:space="preserve">Ingresos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85.869.171.557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1E597A">
              <w:rPr>
                <w:rFonts w:ascii="Arial" w:hAnsi="Arial" w:cs="Arial"/>
                <w:color w:val="000000"/>
                <w:lang w:val="es-ES"/>
              </w:rPr>
              <w:t xml:space="preserve">        109.567.622.459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23.698.450.903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27,60</w:t>
            </w:r>
          </w:p>
        </w:tc>
      </w:tr>
      <w:tr w:rsidR="0039604A" w:rsidRPr="001E597A" w:rsidTr="0039604A">
        <w:trPr>
          <w:trHeight w:val="31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 xml:space="preserve">Gastos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83.164.254.080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1E597A">
              <w:rPr>
                <w:rFonts w:ascii="Arial" w:hAnsi="Arial" w:cs="Arial"/>
                <w:color w:val="000000"/>
                <w:lang w:val="es-ES"/>
              </w:rPr>
              <w:t xml:space="preserve">        106.669.855.502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23.505.601.421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28,26</w:t>
            </w:r>
          </w:p>
        </w:tc>
      </w:tr>
      <w:tr w:rsidR="0039604A" w:rsidRPr="001E597A" w:rsidTr="0039604A">
        <w:trPr>
          <w:trHeight w:val="31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Beneficios (Pérdidas) del Período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2.704.917.476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1E597A">
              <w:rPr>
                <w:rFonts w:ascii="Arial" w:hAnsi="Arial" w:cs="Arial"/>
                <w:color w:val="000000"/>
                <w:lang w:val="es-ES"/>
              </w:rPr>
              <w:t xml:space="preserve">           2.897.766.958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192.849.481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7,13</w:t>
            </w:r>
          </w:p>
        </w:tc>
      </w:tr>
      <w:tr w:rsidR="0039604A" w:rsidRPr="001E597A" w:rsidTr="0039604A">
        <w:trPr>
          <w:trHeight w:val="31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1E597A">
              <w:rPr>
                <w:rFonts w:ascii="Arial" w:hAnsi="Arial" w:cs="Arial"/>
                <w:color w:val="000000"/>
                <w:lang w:val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 </w:t>
            </w:r>
          </w:p>
        </w:tc>
      </w:tr>
      <w:tr w:rsidR="0039604A" w:rsidRPr="001E597A" w:rsidTr="0039604A">
        <w:trPr>
          <w:trHeight w:val="31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1E597A">
              <w:rPr>
                <w:rFonts w:ascii="Arial" w:hAnsi="Arial" w:cs="Arial"/>
                <w:b/>
                <w:bCs/>
                <w:lang w:val="es-ES"/>
              </w:rPr>
              <w:t xml:space="preserve">Resultados Técnicos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1E597A">
              <w:rPr>
                <w:rFonts w:ascii="Arial" w:hAnsi="Arial" w:cs="Arial"/>
                <w:color w:val="000000"/>
                <w:lang w:val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 </w:t>
            </w:r>
          </w:p>
        </w:tc>
      </w:tr>
      <w:tr w:rsidR="0039604A" w:rsidRPr="001E597A" w:rsidTr="0039604A">
        <w:trPr>
          <w:trHeight w:val="31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Prima Suscrita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41.084.288.244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1E597A">
              <w:rPr>
                <w:rFonts w:ascii="Arial" w:hAnsi="Arial" w:cs="Arial"/>
                <w:color w:val="000000"/>
                <w:lang w:val="es-ES"/>
              </w:rPr>
              <w:t xml:space="preserve">         51.361.540.591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10.277.252.347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25,02</w:t>
            </w:r>
          </w:p>
        </w:tc>
      </w:tr>
      <w:tr w:rsidR="0039604A" w:rsidRPr="001E597A" w:rsidTr="0039604A">
        <w:trPr>
          <w:trHeight w:val="31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Prima Retenida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24.511.038.245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1E597A">
              <w:rPr>
                <w:rFonts w:ascii="Arial" w:hAnsi="Arial" w:cs="Arial"/>
                <w:color w:val="000000"/>
                <w:lang w:val="es-ES"/>
              </w:rPr>
              <w:t xml:space="preserve">         31.491.551.987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6.980.513.741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28,48</w:t>
            </w:r>
          </w:p>
        </w:tc>
      </w:tr>
      <w:tr w:rsidR="0039604A" w:rsidRPr="001E597A" w:rsidTr="0039604A">
        <w:trPr>
          <w:trHeight w:val="31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Prima Retenida Devengada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23.487.838.439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1E597A">
              <w:rPr>
                <w:rFonts w:ascii="Arial" w:hAnsi="Arial" w:cs="Arial"/>
                <w:color w:val="000000"/>
                <w:lang w:val="es-ES"/>
              </w:rPr>
              <w:t xml:space="preserve">         30.026.203.674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6.538.365.235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27,84</w:t>
            </w:r>
          </w:p>
        </w:tc>
      </w:tr>
      <w:tr w:rsidR="0039604A" w:rsidRPr="001E597A" w:rsidTr="0039604A">
        <w:trPr>
          <w:trHeight w:val="31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Siniestros Retenidos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11.592.433.959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1E597A">
              <w:rPr>
                <w:rFonts w:ascii="Arial" w:hAnsi="Arial" w:cs="Arial"/>
                <w:color w:val="000000"/>
                <w:lang w:val="es-ES"/>
              </w:rPr>
              <w:t xml:space="preserve">         16.479.413.625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4.886.979.667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42,16</w:t>
            </w:r>
          </w:p>
        </w:tc>
      </w:tr>
      <w:tr w:rsidR="0039604A" w:rsidRPr="001E597A" w:rsidTr="0039604A">
        <w:trPr>
          <w:trHeight w:val="31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Siniestros Incurridos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13.349.964.029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1E597A">
              <w:rPr>
                <w:rFonts w:ascii="Arial" w:hAnsi="Arial" w:cs="Arial"/>
                <w:color w:val="000000"/>
                <w:lang w:val="es-ES"/>
              </w:rPr>
              <w:t xml:space="preserve">         18.260.500.031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4.910.536.002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36,78</w:t>
            </w:r>
          </w:p>
        </w:tc>
      </w:tr>
      <w:tr w:rsidR="0039604A" w:rsidRPr="001E597A" w:rsidTr="0039604A">
        <w:trPr>
          <w:trHeight w:val="31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Resultados Técnicos Brutos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8.346.523.806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1E597A">
              <w:rPr>
                <w:rFonts w:ascii="Arial" w:hAnsi="Arial" w:cs="Arial"/>
                <w:color w:val="000000"/>
                <w:lang w:val="es-ES"/>
              </w:rPr>
              <w:t xml:space="preserve">           9.350.895.354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1.004.371.548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12,03</w:t>
            </w:r>
          </w:p>
        </w:tc>
      </w:tr>
      <w:tr w:rsidR="0039604A" w:rsidRPr="001E597A" w:rsidTr="0039604A">
        <w:trPr>
          <w:trHeight w:val="31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1E597A">
              <w:rPr>
                <w:rFonts w:ascii="Arial" w:hAnsi="Arial" w:cs="Arial"/>
                <w:color w:val="000000"/>
                <w:lang w:val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4A" w:rsidRPr="001E597A" w:rsidRDefault="0039604A" w:rsidP="0039604A">
            <w:pPr>
              <w:jc w:val="right"/>
              <w:rPr>
                <w:rFonts w:ascii="Arial" w:hAnsi="Arial" w:cs="Arial"/>
                <w:lang w:val="es-ES"/>
              </w:rPr>
            </w:pPr>
            <w:r w:rsidRPr="001E597A">
              <w:rPr>
                <w:rFonts w:ascii="Arial" w:hAnsi="Arial" w:cs="Arial"/>
                <w:lang w:val="es-ES"/>
              </w:rPr>
              <w:t> </w:t>
            </w:r>
          </w:p>
        </w:tc>
      </w:tr>
    </w:tbl>
    <w:p w:rsidR="004E18B1" w:rsidRDefault="004E18B1" w:rsidP="001012F5">
      <w:pPr>
        <w:rPr>
          <w:sz w:val="44"/>
          <w:szCs w:val="44"/>
        </w:rPr>
      </w:pPr>
    </w:p>
    <w:p w:rsidR="0039604A" w:rsidRDefault="0039604A" w:rsidP="001012F5">
      <w:pPr>
        <w:rPr>
          <w:sz w:val="44"/>
          <w:szCs w:val="44"/>
        </w:rPr>
      </w:pPr>
    </w:p>
    <w:p w:rsidR="0039604A" w:rsidRDefault="0039604A" w:rsidP="001012F5">
      <w:pPr>
        <w:rPr>
          <w:sz w:val="44"/>
          <w:szCs w:val="44"/>
        </w:rPr>
      </w:pPr>
    </w:p>
    <w:p w:rsidR="004E18B1" w:rsidRDefault="004E18B1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39604A" w:rsidRDefault="0039604A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9B3C94" w:rsidRDefault="009B3C94" w:rsidP="001012F5">
      <w:pPr>
        <w:rPr>
          <w:sz w:val="44"/>
          <w:szCs w:val="44"/>
        </w:rPr>
      </w:pPr>
    </w:p>
    <w:p w:rsidR="009B3C94" w:rsidRDefault="009B3C94" w:rsidP="001012F5">
      <w:pPr>
        <w:rPr>
          <w:sz w:val="44"/>
          <w:szCs w:val="44"/>
        </w:rPr>
      </w:pPr>
    </w:p>
    <w:p w:rsidR="00193E07" w:rsidRDefault="00193E07" w:rsidP="00442DCD">
      <w:pPr>
        <w:spacing w:line="360" w:lineRule="auto"/>
        <w:jc w:val="both"/>
        <w:rPr>
          <w:b/>
          <w:lang w:val="es-ES"/>
        </w:rPr>
      </w:pPr>
    </w:p>
    <w:p w:rsidR="00E2061F" w:rsidRDefault="00E2061F" w:rsidP="004968F4">
      <w:pPr>
        <w:pStyle w:val="Title"/>
        <w:rPr>
          <w:rFonts w:ascii="Bookman Old Style" w:hAnsi="Bookman Old Style"/>
          <w:color w:val="0000FF"/>
          <w:szCs w:val="32"/>
        </w:rPr>
      </w:pPr>
    </w:p>
    <w:p w:rsidR="00E2061F" w:rsidRDefault="00E2061F" w:rsidP="004968F4">
      <w:pPr>
        <w:pStyle w:val="Title"/>
        <w:rPr>
          <w:rFonts w:ascii="Bookman Old Style" w:hAnsi="Bookman Old Style"/>
          <w:color w:val="0000FF"/>
          <w:szCs w:val="32"/>
        </w:rPr>
      </w:pPr>
    </w:p>
    <w:p w:rsidR="004968F4" w:rsidRPr="00232B9B" w:rsidRDefault="00232B9B" w:rsidP="005C4FD0">
      <w:pPr>
        <w:pStyle w:val="Title"/>
        <w:outlineLvl w:val="0"/>
        <w:rPr>
          <w:rFonts w:ascii="Bookman Old Style" w:hAnsi="Bookman Old Style"/>
          <w:b/>
          <w:bCs/>
          <w:color w:val="003366"/>
          <w:szCs w:val="32"/>
        </w:rPr>
      </w:pPr>
      <w:r>
        <w:rPr>
          <w:rFonts w:ascii="Bookman Old Style" w:hAnsi="Bookman Old Style"/>
          <w:color w:val="003366"/>
          <w:szCs w:val="32"/>
        </w:rPr>
        <w:t>REPÚ</w:t>
      </w:r>
      <w:r w:rsidR="004968F4" w:rsidRPr="00232B9B">
        <w:rPr>
          <w:rFonts w:ascii="Bookman Old Style" w:hAnsi="Bookman Old Style"/>
          <w:color w:val="003366"/>
          <w:szCs w:val="32"/>
        </w:rPr>
        <w:t>BLICA DOMINICANA</w:t>
      </w:r>
    </w:p>
    <w:p w:rsidR="004968F4" w:rsidRPr="00232B9B" w:rsidRDefault="004968F4" w:rsidP="004968F4">
      <w:pPr>
        <w:pStyle w:val="Title"/>
        <w:rPr>
          <w:rFonts w:ascii="Bookman Old Style" w:hAnsi="Bookman Old Style"/>
          <w:bCs/>
          <w:color w:val="003366"/>
          <w:sz w:val="24"/>
          <w:szCs w:val="24"/>
        </w:rPr>
      </w:pPr>
      <w:r w:rsidRPr="00232B9B">
        <w:rPr>
          <w:bCs/>
          <w:color w:val="003366"/>
          <w:sz w:val="24"/>
          <w:szCs w:val="24"/>
        </w:rPr>
        <w:t>MINISTERIO DE HACIENDA</w:t>
      </w:r>
    </w:p>
    <w:p w:rsidR="004968F4" w:rsidRPr="00232B9B" w:rsidRDefault="004968F4" w:rsidP="004968F4">
      <w:pPr>
        <w:pStyle w:val="Subtitle"/>
        <w:rPr>
          <w:b/>
          <w:color w:val="003366"/>
          <w:sz w:val="28"/>
          <w:szCs w:val="28"/>
        </w:rPr>
      </w:pPr>
      <w:r w:rsidRPr="00232B9B">
        <w:rPr>
          <w:b/>
          <w:color w:val="003366"/>
          <w:sz w:val="28"/>
          <w:szCs w:val="28"/>
        </w:rPr>
        <w:t>SUPERINTENDENCIA DE SEGUROS</w:t>
      </w:r>
    </w:p>
    <w:p w:rsidR="004968F4" w:rsidRDefault="004968F4" w:rsidP="004968F4">
      <w:pPr>
        <w:rPr>
          <w:sz w:val="44"/>
          <w:szCs w:val="44"/>
        </w:rPr>
      </w:pPr>
    </w:p>
    <w:p w:rsidR="004968F4" w:rsidRDefault="004968F4" w:rsidP="004968F4">
      <w:pPr>
        <w:rPr>
          <w:sz w:val="44"/>
          <w:szCs w:val="44"/>
        </w:rPr>
      </w:pPr>
    </w:p>
    <w:p w:rsidR="004968F4" w:rsidRPr="00996060" w:rsidRDefault="004968F4" w:rsidP="004968F4">
      <w:pPr>
        <w:tabs>
          <w:tab w:val="left" w:pos="2919"/>
        </w:tabs>
        <w:rPr>
          <w:i/>
          <w:sz w:val="44"/>
          <w:szCs w:val="44"/>
        </w:rPr>
      </w:pPr>
    </w:p>
    <w:p w:rsidR="00916C9E" w:rsidRDefault="00916C9E" w:rsidP="004968F4">
      <w:pPr>
        <w:tabs>
          <w:tab w:val="left" w:pos="2919"/>
        </w:tabs>
        <w:ind w:left="-180" w:firstLine="180"/>
        <w:jc w:val="center"/>
        <w:rPr>
          <w:rFonts w:ascii="Arial" w:hAnsi="Arial"/>
          <w:b/>
          <w:i/>
          <w:sz w:val="32"/>
          <w:szCs w:val="32"/>
        </w:rPr>
      </w:pPr>
    </w:p>
    <w:p w:rsidR="00916C9E" w:rsidRDefault="00916C9E" w:rsidP="004968F4">
      <w:pPr>
        <w:tabs>
          <w:tab w:val="left" w:pos="2919"/>
        </w:tabs>
        <w:ind w:left="-180" w:firstLine="180"/>
        <w:jc w:val="center"/>
        <w:rPr>
          <w:rFonts w:ascii="Arial" w:hAnsi="Arial"/>
          <w:b/>
          <w:i/>
          <w:sz w:val="32"/>
          <w:szCs w:val="32"/>
        </w:rPr>
      </w:pPr>
    </w:p>
    <w:p w:rsidR="004968F4" w:rsidRPr="00996060" w:rsidRDefault="004968F4" w:rsidP="005C4FD0">
      <w:pPr>
        <w:tabs>
          <w:tab w:val="left" w:pos="2919"/>
        </w:tabs>
        <w:ind w:left="-180" w:firstLine="180"/>
        <w:jc w:val="center"/>
        <w:outlineLvl w:val="0"/>
        <w:rPr>
          <w:rFonts w:ascii="Arial" w:hAnsi="Arial"/>
          <w:b/>
          <w:i/>
          <w:sz w:val="32"/>
          <w:szCs w:val="32"/>
        </w:rPr>
      </w:pPr>
      <w:r w:rsidRPr="00996060">
        <w:rPr>
          <w:rFonts w:ascii="Arial" w:hAnsi="Arial"/>
          <w:b/>
          <w:i/>
          <w:sz w:val="32"/>
          <w:szCs w:val="32"/>
        </w:rPr>
        <w:t>Departamento de Planificación y Organización</w:t>
      </w:r>
    </w:p>
    <w:p w:rsidR="004968F4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b/>
          <w:i/>
          <w:sz w:val="32"/>
          <w:szCs w:val="32"/>
        </w:rPr>
      </w:pPr>
    </w:p>
    <w:p w:rsidR="004968F4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b/>
          <w:i/>
          <w:sz w:val="32"/>
          <w:szCs w:val="32"/>
        </w:rPr>
      </w:pPr>
    </w:p>
    <w:p w:rsidR="004968F4" w:rsidRPr="00996060" w:rsidRDefault="004968F4" w:rsidP="004968F4">
      <w:pPr>
        <w:tabs>
          <w:tab w:val="left" w:pos="2919"/>
        </w:tabs>
        <w:rPr>
          <w:rFonts w:ascii="Arial" w:hAnsi="Arial"/>
          <w:b/>
          <w:i/>
          <w:sz w:val="32"/>
          <w:szCs w:val="32"/>
        </w:rPr>
      </w:pPr>
    </w:p>
    <w:p w:rsidR="004968F4" w:rsidRPr="00996060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b/>
          <w:i/>
          <w:sz w:val="32"/>
          <w:szCs w:val="32"/>
        </w:rPr>
      </w:pPr>
    </w:p>
    <w:p w:rsidR="004968F4" w:rsidRPr="00996060" w:rsidRDefault="004968F4" w:rsidP="005C4FD0">
      <w:pPr>
        <w:tabs>
          <w:tab w:val="left" w:pos="2919"/>
        </w:tabs>
        <w:ind w:left="-180" w:firstLine="180"/>
        <w:jc w:val="center"/>
        <w:outlineLvl w:val="0"/>
        <w:rPr>
          <w:i/>
          <w:sz w:val="28"/>
          <w:szCs w:val="28"/>
        </w:rPr>
      </w:pPr>
      <w:r w:rsidRPr="00996060">
        <w:rPr>
          <w:rFonts w:ascii="Arial" w:hAnsi="Arial"/>
          <w:b/>
          <w:i/>
          <w:sz w:val="28"/>
          <w:szCs w:val="28"/>
        </w:rPr>
        <w:t>Este informe fue elaborado y compilado por</w:t>
      </w:r>
      <w:r w:rsidRPr="00996060">
        <w:rPr>
          <w:i/>
          <w:sz w:val="28"/>
          <w:szCs w:val="28"/>
        </w:rPr>
        <w:t>:</w:t>
      </w:r>
    </w:p>
    <w:p w:rsidR="004968F4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sz w:val="28"/>
          <w:szCs w:val="28"/>
        </w:rPr>
      </w:pPr>
    </w:p>
    <w:p w:rsidR="004968F4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sz w:val="28"/>
          <w:szCs w:val="28"/>
        </w:rPr>
      </w:pPr>
    </w:p>
    <w:p w:rsidR="004968F4" w:rsidRDefault="004968F4" w:rsidP="004968F4">
      <w:pPr>
        <w:tabs>
          <w:tab w:val="left" w:pos="2919"/>
        </w:tabs>
        <w:rPr>
          <w:rFonts w:ascii="Arial" w:hAnsi="Arial"/>
          <w:sz w:val="28"/>
          <w:szCs w:val="28"/>
        </w:rPr>
      </w:pPr>
    </w:p>
    <w:p w:rsidR="004968F4" w:rsidRPr="00C927E1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i/>
          <w:sz w:val="24"/>
          <w:szCs w:val="24"/>
        </w:rPr>
      </w:pPr>
    </w:p>
    <w:p w:rsidR="004968F4" w:rsidRPr="00C927E1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i/>
          <w:sz w:val="24"/>
          <w:szCs w:val="24"/>
        </w:rPr>
      </w:pPr>
    </w:p>
    <w:p w:rsidR="004968F4" w:rsidRPr="00C927E1" w:rsidRDefault="004968F4" w:rsidP="004968F4">
      <w:pPr>
        <w:tabs>
          <w:tab w:val="left" w:pos="2919"/>
        </w:tabs>
        <w:rPr>
          <w:rFonts w:ascii="Arial" w:hAnsi="Arial"/>
          <w:i/>
          <w:sz w:val="24"/>
          <w:szCs w:val="24"/>
        </w:rPr>
      </w:pPr>
    </w:p>
    <w:p w:rsidR="004968F4" w:rsidRPr="00C927E1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i/>
          <w:sz w:val="24"/>
          <w:szCs w:val="24"/>
        </w:rPr>
      </w:pPr>
    </w:p>
    <w:p w:rsidR="004968F4" w:rsidRPr="00C927E1" w:rsidRDefault="004968F4" w:rsidP="005C4FD0">
      <w:pPr>
        <w:tabs>
          <w:tab w:val="left" w:pos="2919"/>
        </w:tabs>
        <w:ind w:left="-180" w:firstLine="180"/>
        <w:jc w:val="center"/>
        <w:outlineLvl w:val="0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El Depto. de Planificación y Organización</w:t>
      </w:r>
    </w:p>
    <w:p w:rsidR="004968F4" w:rsidRPr="00C927E1" w:rsidRDefault="004968F4" w:rsidP="004968F4">
      <w:pPr>
        <w:tabs>
          <w:tab w:val="left" w:pos="2919"/>
        </w:tabs>
        <w:ind w:left="-180" w:firstLine="180"/>
        <w:rPr>
          <w:rFonts w:ascii="Arial" w:hAnsi="Arial"/>
          <w:i/>
          <w:sz w:val="24"/>
          <w:szCs w:val="24"/>
        </w:rPr>
      </w:pPr>
    </w:p>
    <w:p w:rsidR="004968F4" w:rsidRPr="00C927E1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i/>
          <w:sz w:val="24"/>
          <w:szCs w:val="24"/>
        </w:rPr>
      </w:pPr>
    </w:p>
    <w:p w:rsidR="004968F4" w:rsidRPr="00C927E1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i/>
          <w:sz w:val="24"/>
          <w:szCs w:val="24"/>
        </w:rPr>
      </w:pPr>
    </w:p>
    <w:p w:rsidR="004968F4" w:rsidRPr="00C927E1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i/>
          <w:sz w:val="24"/>
          <w:szCs w:val="24"/>
        </w:rPr>
      </w:pPr>
    </w:p>
    <w:p w:rsidR="004968F4" w:rsidRPr="00C927E1" w:rsidRDefault="004968F4" w:rsidP="004968F4">
      <w:pPr>
        <w:tabs>
          <w:tab w:val="left" w:pos="2919"/>
        </w:tabs>
        <w:rPr>
          <w:rFonts w:ascii="Arial" w:hAnsi="Arial"/>
          <w:i/>
          <w:sz w:val="24"/>
          <w:szCs w:val="24"/>
        </w:rPr>
      </w:pPr>
    </w:p>
    <w:p w:rsidR="004968F4" w:rsidRPr="006F4675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</w:rPr>
      </w:pPr>
    </w:p>
    <w:p w:rsidR="004968F4" w:rsidRPr="006F4675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</w:rPr>
      </w:pPr>
    </w:p>
    <w:p w:rsidR="004968F4" w:rsidRDefault="004968F4" w:rsidP="004968F4">
      <w:pPr>
        <w:tabs>
          <w:tab w:val="left" w:pos="3037"/>
        </w:tabs>
      </w:pPr>
    </w:p>
    <w:p w:rsidR="004968F4" w:rsidRDefault="004968F4" w:rsidP="004968F4">
      <w:pPr>
        <w:tabs>
          <w:tab w:val="left" w:pos="3037"/>
        </w:tabs>
        <w:jc w:val="center"/>
      </w:pPr>
    </w:p>
    <w:p w:rsidR="004968F4" w:rsidRDefault="004968F4" w:rsidP="004968F4">
      <w:pPr>
        <w:tabs>
          <w:tab w:val="left" w:pos="3037"/>
        </w:tabs>
        <w:jc w:val="center"/>
      </w:pPr>
    </w:p>
    <w:p w:rsidR="004968F4" w:rsidRDefault="004968F4" w:rsidP="004968F4">
      <w:pPr>
        <w:tabs>
          <w:tab w:val="left" w:pos="3037"/>
        </w:tabs>
      </w:pPr>
    </w:p>
    <w:p w:rsidR="004968F4" w:rsidRDefault="004968F4" w:rsidP="004968F4">
      <w:pPr>
        <w:tabs>
          <w:tab w:val="left" w:pos="3037"/>
        </w:tabs>
      </w:pPr>
    </w:p>
    <w:p w:rsidR="00916C9E" w:rsidRDefault="00916C9E" w:rsidP="00EE02B4">
      <w:pPr>
        <w:tabs>
          <w:tab w:val="left" w:pos="3037"/>
        </w:tabs>
        <w:rPr>
          <w:b/>
        </w:rPr>
      </w:pPr>
    </w:p>
    <w:p w:rsidR="00916C9E" w:rsidRDefault="00916C9E" w:rsidP="004968F4">
      <w:pPr>
        <w:tabs>
          <w:tab w:val="left" w:pos="3037"/>
        </w:tabs>
        <w:jc w:val="center"/>
        <w:rPr>
          <w:b/>
        </w:rPr>
      </w:pPr>
    </w:p>
    <w:p w:rsidR="00916C9E" w:rsidRDefault="00916C9E" w:rsidP="004968F4">
      <w:pPr>
        <w:tabs>
          <w:tab w:val="left" w:pos="3037"/>
        </w:tabs>
        <w:jc w:val="center"/>
        <w:rPr>
          <w:b/>
        </w:rPr>
      </w:pPr>
    </w:p>
    <w:p w:rsidR="004968F4" w:rsidRPr="00210784" w:rsidRDefault="004968F4" w:rsidP="005C4FD0">
      <w:pPr>
        <w:tabs>
          <w:tab w:val="left" w:pos="3037"/>
        </w:tabs>
        <w:jc w:val="center"/>
        <w:outlineLvl w:val="0"/>
        <w:rPr>
          <w:b/>
        </w:rPr>
      </w:pPr>
      <w:r w:rsidRPr="00210784">
        <w:rPr>
          <w:b/>
        </w:rPr>
        <w:t>Santo Domingo, D.N.</w:t>
      </w:r>
    </w:p>
    <w:p w:rsidR="004968F4" w:rsidRPr="00210784" w:rsidRDefault="000B61A0" w:rsidP="004968F4">
      <w:pPr>
        <w:tabs>
          <w:tab w:val="left" w:pos="3037"/>
        </w:tabs>
        <w:jc w:val="center"/>
        <w:rPr>
          <w:b/>
        </w:rPr>
      </w:pPr>
      <w:r>
        <w:rPr>
          <w:b/>
        </w:rPr>
        <w:t>2018</w:t>
      </w:r>
    </w:p>
    <w:p w:rsidR="004968F4" w:rsidRDefault="004968F4" w:rsidP="004968F4">
      <w:pPr>
        <w:tabs>
          <w:tab w:val="left" w:pos="3037"/>
        </w:tabs>
        <w:jc w:val="center"/>
      </w:pPr>
    </w:p>
    <w:p w:rsidR="004968F4" w:rsidRDefault="004968F4" w:rsidP="004968F4">
      <w:pPr>
        <w:tabs>
          <w:tab w:val="left" w:pos="3037"/>
        </w:tabs>
        <w:jc w:val="center"/>
      </w:pPr>
    </w:p>
    <w:p w:rsidR="004968F4" w:rsidRDefault="004968F4" w:rsidP="004968F4">
      <w:pPr>
        <w:tabs>
          <w:tab w:val="left" w:pos="3037"/>
        </w:tabs>
        <w:jc w:val="center"/>
      </w:pPr>
    </w:p>
    <w:p w:rsidR="004968F4" w:rsidRDefault="004968F4" w:rsidP="004968F4">
      <w:pPr>
        <w:tabs>
          <w:tab w:val="left" w:pos="3037"/>
        </w:tabs>
        <w:jc w:val="center"/>
      </w:pPr>
    </w:p>
    <w:p w:rsidR="004968F4" w:rsidRDefault="004968F4" w:rsidP="004968F4">
      <w:pPr>
        <w:tabs>
          <w:tab w:val="left" w:pos="3037"/>
        </w:tabs>
        <w:jc w:val="center"/>
      </w:pPr>
    </w:p>
    <w:p w:rsidR="004968F4" w:rsidRDefault="004968F4" w:rsidP="004968F4">
      <w:pPr>
        <w:tabs>
          <w:tab w:val="left" w:pos="3037"/>
        </w:tabs>
        <w:jc w:val="center"/>
      </w:pPr>
    </w:p>
    <w:p w:rsidR="006C3C67" w:rsidRDefault="006C3C6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6C3C67" w:rsidRDefault="006C3C6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6C3C67" w:rsidRDefault="006C3C6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6C3C67" w:rsidRDefault="006C3C6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6C3C67" w:rsidRDefault="006C3C6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072B48" w:rsidRDefault="00072B48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072B48" w:rsidRDefault="00072B48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072B48" w:rsidRDefault="00072B48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072B48" w:rsidRDefault="00072B48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617BDF" w:rsidRDefault="00617BDF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617BDF" w:rsidRDefault="00617BDF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072B48" w:rsidRDefault="00072B48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072B48" w:rsidRDefault="00072B48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6C3C67" w:rsidRDefault="006C3C6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6C3C67" w:rsidRDefault="006C3C6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6C3C67" w:rsidRDefault="006C3C6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D83DF7" w:rsidRDefault="00D83DF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6C3C67" w:rsidRDefault="009A5CAB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  <w:r>
        <w:rPr>
          <w:noProof/>
          <w:sz w:val="24"/>
          <w:szCs w:val="24"/>
          <w:lang w:eastAsia="es-D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24765</wp:posOffset>
            </wp:positionV>
            <wp:extent cx="3566160" cy="3658870"/>
            <wp:effectExtent l="19050" t="0" r="0" b="0"/>
            <wp:wrapNone/>
            <wp:docPr id="11" name="Imagen 11" descr="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65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C9E" w:rsidRDefault="00916C9E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916C9E" w:rsidRDefault="00916C9E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916C9E" w:rsidRDefault="00916C9E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6C3C67" w:rsidRDefault="006C3C6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D315C7" w:rsidRDefault="00D315C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D315C7" w:rsidRDefault="00D315C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D315C7" w:rsidRDefault="00D315C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D315C7" w:rsidRDefault="00D315C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D315C7" w:rsidRDefault="00D315C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D315C7" w:rsidRDefault="00D315C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D315C7" w:rsidRDefault="00D315C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D315C7" w:rsidRDefault="00D315C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D315C7" w:rsidRDefault="00D315C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D315C7" w:rsidRDefault="00D315C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D315C7" w:rsidRDefault="00D315C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D315C7" w:rsidRDefault="00D315C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D315C7" w:rsidRPr="00D315C7" w:rsidRDefault="00D315C7" w:rsidP="002615B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14553D" w:rsidRPr="00D315C7" w:rsidRDefault="0014553D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sectPr w:rsidR="0014553D" w:rsidRPr="00D315C7" w:rsidSect="00072B48">
      <w:footerReference w:type="even" r:id="rId10"/>
      <w:footerReference w:type="default" r:id="rId11"/>
      <w:pgSz w:w="12240" w:h="18720" w:code="5"/>
      <w:pgMar w:top="993" w:right="900" w:bottom="1135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40B" w:rsidRDefault="00E1440B">
      <w:r>
        <w:separator/>
      </w:r>
    </w:p>
  </w:endnote>
  <w:endnote w:type="continuationSeparator" w:id="0">
    <w:p w:rsidR="00E1440B" w:rsidRDefault="00E1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DC" w:rsidRDefault="001267DC" w:rsidP="00D86C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67DC" w:rsidRDefault="001267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DC" w:rsidRPr="008A09F1" w:rsidRDefault="001267DC" w:rsidP="008A09F1">
    <w:pPr>
      <w:pStyle w:val="Footer"/>
      <w:framePr w:wrap="around" w:vAnchor="text" w:hAnchor="page" w:x="6305" w:y="27"/>
      <w:jc w:val="center"/>
      <w:rPr>
        <w:rStyle w:val="PageNumber"/>
        <w:b/>
      </w:rPr>
    </w:pPr>
    <w:r w:rsidRPr="008A09F1">
      <w:rPr>
        <w:rStyle w:val="PageNumber"/>
        <w:b/>
      </w:rPr>
      <w:fldChar w:fldCharType="begin"/>
    </w:r>
    <w:r w:rsidRPr="008A09F1">
      <w:rPr>
        <w:rStyle w:val="PageNumber"/>
        <w:b/>
      </w:rPr>
      <w:instrText xml:space="preserve">PAGE  </w:instrText>
    </w:r>
    <w:r w:rsidRPr="008A09F1">
      <w:rPr>
        <w:rStyle w:val="PageNumber"/>
        <w:b/>
      </w:rPr>
      <w:fldChar w:fldCharType="separate"/>
    </w:r>
    <w:r w:rsidR="00C30B05">
      <w:rPr>
        <w:rStyle w:val="PageNumber"/>
        <w:b/>
        <w:noProof/>
      </w:rPr>
      <w:t>8</w:t>
    </w:r>
    <w:r w:rsidRPr="008A09F1">
      <w:rPr>
        <w:rStyle w:val="PageNumber"/>
        <w:b/>
      </w:rPr>
      <w:fldChar w:fldCharType="end"/>
    </w:r>
  </w:p>
  <w:p w:rsidR="001267DC" w:rsidRDefault="001267DC" w:rsidP="00AB7FC3">
    <w:pPr>
      <w:pStyle w:val="Footer"/>
      <w:tabs>
        <w:tab w:val="clear" w:pos="4320"/>
        <w:tab w:val="clear" w:pos="8640"/>
        <w:tab w:val="left" w:pos="56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40B" w:rsidRDefault="00E1440B">
      <w:r>
        <w:separator/>
      </w:r>
    </w:p>
  </w:footnote>
  <w:footnote w:type="continuationSeparator" w:id="0">
    <w:p w:rsidR="00E1440B" w:rsidRDefault="00E14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614"/>
    <w:multiLevelType w:val="hybridMultilevel"/>
    <w:tmpl w:val="E69EBA5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1C7C23"/>
    <w:multiLevelType w:val="hybridMultilevel"/>
    <w:tmpl w:val="3E6650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D22030"/>
    <w:multiLevelType w:val="hybridMultilevel"/>
    <w:tmpl w:val="1504B9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B57E2"/>
    <w:multiLevelType w:val="multilevel"/>
    <w:tmpl w:val="679C2F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C47664"/>
    <w:multiLevelType w:val="multilevel"/>
    <w:tmpl w:val="786E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C53E9"/>
    <w:multiLevelType w:val="hybridMultilevel"/>
    <w:tmpl w:val="95627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799"/>
    <w:multiLevelType w:val="hybridMultilevel"/>
    <w:tmpl w:val="0564183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D71E2"/>
    <w:multiLevelType w:val="hybridMultilevel"/>
    <w:tmpl w:val="5148B01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69420E"/>
    <w:multiLevelType w:val="hybridMultilevel"/>
    <w:tmpl w:val="B0182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4633E"/>
    <w:multiLevelType w:val="hybridMultilevel"/>
    <w:tmpl w:val="23AE2968"/>
    <w:lvl w:ilvl="0" w:tplc="E834A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F19E5"/>
    <w:multiLevelType w:val="hybridMultilevel"/>
    <w:tmpl w:val="ACDAA24C"/>
    <w:lvl w:ilvl="0" w:tplc="DB5277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F51365"/>
    <w:multiLevelType w:val="hybridMultilevel"/>
    <w:tmpl w:val="66EE2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B474B"/>
    <w:multiLevelType w:val="hybridMultilevel"/>
    <w:tmpl w:val="D83ABC8A"/>
    <w:lvl w:ilvl="0" w:tplc="9DF43A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A7EC4"/>
    <w:multiLevelType w:val="hybridMultilevel"/>
    <w:tmpl w:val="F8766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75102"/>
    <w:multiLevelType w:val="hybridMultilevel"/>
    <w:tmpl w:val="F48C4B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3055F9"/>
    <w:multiLevelType w:val="hybridMultilevel"/>
    <w:tmpl w:val="F1F4C0CC"/>
    <w:lvl w:ilvl="0" w:tplc="AF8E87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0900DB"/>
    <w:multiLevelType w:val="hybridMultilevel"/>
    <w:tmpl w:val="B8B220D8"/>
    <w:lvl w:ilvl="0" w:tplc="9ACC35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6E1B65"/>
    <w:multiLevelType w:val="hybridMultilevel"/>
    <w:tmpl w:val="3A5675B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0A5734"/>
    <w:multiLevelType w:val="hybridMultilevel"/>
    <w:tmpl w:val="4A4E1E8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E85DCA"/>
    <w:multiLevelType w:val="hybridMultilevel"/>
    <w:tmpl w:val="B95CB2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A0DA4"/>
    <w:multiLevelType w:val="hybridMultilevel"/>
    <w:tmpl w:val="F53496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94713D0"/>
    <w:multiLevelType w:val="hybridMultilevel"/>
    <w:tmpl w:val="8F96ED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A498B"/>
    <w:multiLevelType w:val="hybridMultilevel"/>
    <w:tmpl w:val="379A858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F7A73FD"/>
    <w:multiLevelType w:val="hybridMultilevel"/>
    <w:tmpl w:val="0CD8383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F12547"/>
    <w:multiLevelType w:val="hybridMultilevel"/>
    <w:tmpl w:val="E7E86F1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7477F"/>
    <w:multiLevelType w:val="multilevel"/>
    <w:tmpl w:val="144AD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690C8A"/>
    <w:multiLevelType w:val="hybridMultilevel"/>
    <w:tmpl w:val="7398F62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60622FC"/>
    <w:multiLevelType w:val="hybridMultilevel"/>
    <w:tmpl w:val="86725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53BF5"/>
    <w:multiLevelType w:val="hybridMultilevel"/>
    <w:tmpl w:val="22068C96"/>
    <w:lvl w:ilvl="0" w:tplc="77C406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862461"/>
    <w:multiLevelType w:val="hybridMultilevel"/>
    <w:tmpl w:val="89AAC3E2"/>
    <w:lvl w:ilvl="0" w:tplc="2C88AC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E387281"/>
    <w:multiLevelType w:val="hybridMultilevel"/>
    <w:tmpl w:val="3FD6598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0C31878"/>
    <w:multiLevelType w:val="hybridMultilevel"/>
    <w:tmpl w:val="B9CC760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D65352"/>
    <w:multiLevelType w:val="hybridMultilevel"/>
    <w:tmpl w:val="696CE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4006F"/>
    <w:multiLevelType w:val="hybridMultilevel"/>
    <w:tmpl w:val="C3FC47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7E6696F"/>
    <w:multiLevelType w:val="hybridMultilevel"/>
    <w:tmpl w:val="28FCCF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7503B"/>
    <w:multiLevelType w:val="multilevel"/>
    <w:tmpl w:val="5C38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E22BC8"/>
    <w:multiLevelType w:val="hybridMultilevel"/>
    <w:tmpl w:val="ACAE2B7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D4C7752"/>
    <w:multiLevelType w:val="hybridMultilevel"/>
    <w:tmpl w:val="C776A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FF3419"/>
    <w:multiLevelType w:val="hybridMultilevel"/>
    <w:tmpl w:val="F9BA1A6E"/>
    <w:lvl w:ilvl="0" w:tplc="8FF2B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222D52"/>
    <w:multiLevelType w:val="hybridMultilevel"/>
    <w:tmpl w:val="C90AFE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856C8"/>
    <w:multiLevelType w:val="hybridMultilevel"/>
    <w:tmpl w:val="C4C2DA86"/>
    <w:lvl w:ilvl="0" w:tplc="71E863B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CDE3E5C"/>
    <w:multiLevelType w:val="hybridMultilevel"/>
    <w:tmpl w:val="4440DF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977ECE"/>
    <w:multiLevelType w:val="hybridMultilevel"/>
    <w:tmpl w:val="1130A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41A9B"/>
    <w:multiLevelType w:val="hybridMultilevel"/>
    <w:tmpl w:val="A426C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96743BC"/>
    <w:multiLevelType w:val="hybridMultilevel"/>
    <w:tmpl w:val="741612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FDE4047"/>
    <w:multiLevelType w:val="hybridMultilevel"/>
    <w:tmpl w:val="C86C9194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8"/>
  </w:num>
  <w:num w:numId="4">
    <w:abstractNumId w:val="0"/>
  </w:num>
  <w:num w:numId="5">
    <w:abstractNumId w:val="40"/>
  </w:num>
  <w:num w:numId="6">
    <w:abstractNumId w:val="15"/>
  </w:num>
  <w:num w:numId="7">
    <w:abstractNumId w:val="30"/>
  </w:num>
  <w:num w:numId="8">
    <w:abstractNumId w:val="32"/>
  </w:num>
  <w:num w:numId="9">
    <w:abstractNumId w:val="23"/>
  </w:num>
  <w:num w:numId="10">
    <w:abstractNumId w:val="10"/>
  </w:num>
  <w:num w:numId="11">
    <w:abstractNumId w:val="35"/>
  </w:num>
  <w:num w:numId="12">
    <w:abstractNumId w:val="3"/>
  </w:num>
  <w:num w:numId="13">
    <w:abstractNumId w:val="17"/>
  </w:num>
  <w:num w:numId="14">
    <w:abstractNumId w:val="44"/>
  </w:num>
  <w:num w:numId="15">
    <w:abstractNumId w:val="20"/>
  </w:num>
  <w:num w:numId="16">
    <w:abstractNumId w:val="33"/>
  </w:num>
  <w:num w:numId="17">
    <w:abstractNumId w:val="4"/>
  </w:num>
  <w:num w:numId="18">
    <w:abstractNumId w:val="25"/>
  </w:num>
  <w:num w:numId="19">
    <w:abstractNumId w:val="36"/>
  </w:num>
  <w:num w:numId="20">
    <w:abstractNumId w:val="26"/>
  </w:num>
  <w:num w:numId="21">
    <w:abstractNumId w:val="14"/>
  </w:num>
  <w:num w:numId="22">
    <w:abstractNumId w:val="22"/>
  </w:num>
  <w:num w:numId="23">
    <w:abstractNumId w:val="31"/>
  </w:num>
  <w:num w:numId="24">
    <w:abstractNumId w:val="6"/>
  </w:num>
  <w:num w:numId="25">
    <w:abstractNumId w:val="29"/>
  </w:num>
  <w:num w:numId="26">
    <w:abstractNumId w:val="43"/>
  </w:num>
  <w:num w:numId="27">
    <w:abstractNumId w:val="7"/>
  </w:num>
  <w:num w:numId="28">
    <w:abstractNumId w:val="41"/>
  </w:num>
  <w:num w:numId="29">
    <w:abstractNumId w:val="1"/>
  </w:num>
  <w:num w:numId="30">
    <w:abstractNumId w:val="27"/>
  </w:num>
  <w:num w:numId="31">
    <w:abstractNumId w:val="13"/>
  </w:num>
  <w:num w:numId="32">
    <w:abstractNumId w:val="37"/>
  </w:num>
  <w:num w:numId="33">
    <w:abstractNumId w:val="42"/>
  </w:num>
  <w:num w:numId="34">
    <w:abstractNumId w:val="39"/>
  </w:num>
  <w:num w:numId="35">
    <w:abstractNumId w:val="8"/>
  </w:num>
  <w:num w:numId="36">
    <w:abstractNumId w:val="5"/>
  </w:num>
  <w:num w:numId="37">
    <w:abstractNumId w:val="11"/>
  </w:num>
  <w:num w:numId="38">
    <w:abstractNumId w:val="45"/>
  </w:num>
  <w:num w:numId="39">
    <w:abstractNumId w:val="18"/>
  </w:num>
  <w:num w:numId="40">
    <w:abstractNumId w:val="2"/>
  </w:num>
  <w:num w:numId="41">
    <w:abstractNumId w:val="19"/>
  </w:num>
  <w:num w:numId="42">
    <w:abstractNumId w:val="34"/>
  </w:num>
  <w:num w:numId="43">
    <w:abstractNumId w:val="21"/>
  </w:num>
  <w:num w:numId="44">
    <w:abstractNumId w:val="24"/>
  </w:num>
  <w:num w:numId="45">
    <w:abstractNumId w:val="9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FC"/>
    <w:rsid w:val="000002FC"/>
    <w:rsid w:val="00000A22"/>
    <w:rsid w:val="000026EA"/>
    <w:rsid w:val="00003072"/>
    <w:rsid w:val="0000382C"/>
    <w:rsid w:val="00003F33"/>
    <w:rsid w:val="00004C74"/>
    <w:rsid w:val="0000597C"/>
    <w:rsid w:val="0000712F"/>
    <w:rsid w:val="000072F0"/>
    <w:rsid w:val="00010E4A"/>
    <w:rsid w:val="00011064"/>
    <w:rsid w:val="00011975"/>
    <w:rsid w:val="00012479"/>
    <w:rsid w:val="00015798"/>
    <w:rsid w:val="000163E2"/>
    <w:rsid w:val="00017413"/>
    <w:rsid w:val="000177BB"/>
    <w:rsid w:val="00017CD3"/>
    <w:rsid w:val="00020ADF"/>
    <w:rsid w:val="00020BD4"/>
    <w:rsid w:val="00020D8C"/>
    <w:rsid w:val="00021989"/>
    <w:rsid w:val="00021CCE"/>
    <w:rsid w:val="000232AD"/>
    <w:rsid w:val="00024016"/>
    <w:rsid w:val="0002433B"/>
    <w:rsid w:val="0002512A"/>
    <w:rsid w:val="00026A9A"/>
    <w:rsid w:val="00026F6F"/>
    <w:rsid w:val="00030A74"/>
    <w:rsid w:val="00031255"/>
    <w:rsid w:val="0003139E"/>
    <w:rsid w:val="00031E0D"/>
    <w:rsid w:val="00034425"/>
    <w:rsid w:val="00035A74"/>
    <w:rsid w:val="00035CD3"/>
    <w:rsid w:val="00037079"/>
    <w:rsid w:val="00040952"/>
    <w:rsid w:val="000409CE"/>
    <w:rsid w:val="00040DA4"/>
    <w:rsid w:val="0004255E"/>
    <w:rsid w:val="00044737"/>
    <w:rsid w:val="0004488B"/>
    <w:rsid w:val="000454BD"/>
    <w:rsid w:val="00046184"/>
    <w:rsid w:val="00046930"/>
    <w:rsid w:val="000501F6"/>
    <w:rsid w:val="00052C36"/>
    <w:rsid w:val="0005345D"/>
    <w:rsid w:val="00053CF4"/>
    <w:rsid w:val="00054216"/>
    <w:rsid w:val="00055194"/>
    <w:rsid w:val="00055A84"/>
    <w:rsid w:val="00056930"/>
    <w:rsid w:val="00056B9A"/>
    <w:rsid w:val="000578E7"/>
    <w:rsid w:val="00062CEA"/>
    <w:rsid w:val="0006635A"/>
    <w:rsid w:val="0006721E"/>
    <w:rsid w:val="00067C77"/>
    <w:rsid w:val="000712A4"/>
    <w:rsid w:val="000715F8"/>
    <w:rsid w:val="00071D73"/>
    <w:rsid w:val="000726C0"/>
    <w:rsid w:val="00072B48"/>
    <w:rsid w:val="00072FB2"/>
    <w:rsid w:val="00073359"/>
    <w:rsid w:val="00074BFF"/>
    <w:rsid w:val="0007527A"/>
    <w:rsid w:val="00076E07"/>
    <w:rsid w:val="00081B2A"/>
    <w:rsid w:val="0008330E"/>
    <w:rsid w:val="00084087"/>
    <w:rsid w:val="00084F4A"/>
    <w:rsid w:val="000875B4"/>
    <w:rsid w:val="00087FA1"/>
    <w:rsid w:val="00091105"/>
    <w:rsid w:val="00092355"/>
    <w:rsid w:val="000935D3"/>
    <w:rsid w:val="0009397C"/>
    <w:rsid w:val="00095B79"/>
    <w:rsid w:val="000965F6"/>
    <w:rsid w:val="00096CBB"/>
    <w:rsid w:val="000A0CB8"/>
    <w:rsid w:val="000A0D24"/>
    <w:rsid w:val="000A173F"/>
    <w:rsid w:val="000A37C1"/>
    <w:rsid w:val="000A414F"/>
    <w:rsid w:val="000A5EAC"/>
    <w:rsid w:val="000A6215"/>
    <w:rsid w:val="000A64E4"/>
    <w:rsid w:val="000A6FAD"/>
    <w:rsid w:val="000A7C08"/>
    <w:rsid w:val="000B0696"/>
    <w:rsid w:val="000B177A"/>
    <w:rsid w:val="000B4BF2"/>
    <w:rsid w:val="000B5925"/>
    <w:rsid w:val="000B61A0"/>
    <w:rsid w:val="000B62FE"/>
    <w:rsid w:val="000B68CF"/>
    <w:rsid w:val="000B7D40"/>
    <w:rsid w:val="000C09EE"/>
    <w:rsid w:val="000C2DAA"/>
    <w:rsid w:val="000C3415"/>
    <w:rsid w:val="000C7156"/>
    <w:rsid w:val="000D0558"/>
    <w:rsid w:val="000D0DB7"/>
    <w:rsid w:val="000D0F54"/>
    <w:rsid w:val="000D2825"/>
    <w:rsid w:val="000D29C0"/>
    <w:rsid w:val="000D42D3"/>
    <w:rsid w:val="000D656F"/>
    <w:rsid w:val="000D757E"/>
    <w:rsid w:val="000D7BA0"/>
    <w:rsid w:val="000E0C87"/>
    <w:rsid w:val="000E1010"/>
    <w:rsid w:val="000E1426"/>
    <w:rsid w:val="000E2765"/>
    <w:rsid w:val="000E2C98"/>
    <w:rsid w:val="000E303E"/>
    <w:rsid w:val="000E3846"/>
    <w:rsid w:val="000E397C"/>
    <w:rsid w:val="000E3AB8"/>
    <w:rsid w:val="000E40B2"/>
    <w:rsid w:val="000E5A10"/>
    <w:rsid w:val="000E6207"/>
    <w:rsid w:val="000E77DC"/>
    <w:rsid w:val="000F1B29"/>
    <w:rsid w:val="000F2E1F"/>
    <w:rsid w:val="000F4860"/>
    <w:rsid w:val="000F4D5E"/>
    <w:rsid w:val="000F7075"/>
    <w:rsid w:val="00100D6A"/>
    <w:rsid w:val="001012F5"/>
    <w:rsid w:val="0010318C"/>
    <w:rsid w:val="00105F1C"/>
    <w:rsid w:val="00106379"/>
    <w:rsid w:val="00106B02"/>
    <w:rsid w:val="0010722E"/>
    <w:rsid w:val="001075A1"/>
    <w:rsid w:val="0010781A"/>
    <w:rsid w:val="00110BFE"/>
    <w:rsid w:val="0011159B"/>
    <w:rsid w:val="00112A6F"/>
    <w:rsid w:val="001148D6"/>
    <w:rsid w:val="00117131"/>
    <w:rsid w:val="00121FE9"/>
    <w:rsid w:val="00122175"/>
    <w:rsid w:val="00123A9B"/>
    <w:rsid w:val="00124A25"/>
    <w:rsid w:val="001267DC"/>
    <w:rsid w:val="00130F8B"/>
    <w:rsid w:val="00131481"/>
    <w:rsid w:val="0013338E"/>
    <w:rsid w:val="00133A22"/>
    <w:rsid w:val="00133C58"/>
    <w:rsid w:val="00134676"/>
    <w:rsid w:val="0013647B"/>
    <w:rsid w:val="00136D30"/>
    <w:rsid w:val="00137D9F"/>
    <w:rsid w:val="00140CF0"/>
    <w:rsid w:val="00141979"/>
    <w:rsid w:val="00143813"/>
    <w:rsid w:val="00143ECF"/>
    <w:rsid w:val="0014543F"/>
    <w:rsid w:val="0014553D"/>
    <w:rsid w:val="001469F0"/>
    <w:rsid w:val="00147427"/>
    <w:rsid w:val="00147B1C"/>
    <w:rsid w:val="001502FA"/>
    <w:rsid w:val="00150442"/>
    <w:rsid w:val="00151153"/>
    <w:rsid w:val="00151DAE"/>
    <w:rsid w:val="0015240A"/>
    <w:rsid w:val="00152DF9"/>
    <w:rsid w:val="0015301E"/>
    <w:rsid w:val="001532B5"/>
    <w:rsid w:val="00153483"/>
    <w:rsid w:val="00155B05"/>
    <w:rsid w:val="0015649D"/>
    <w:rsid w:val="001576B9"/>
    <w:rsid w:val="00160612"/>
    <w:rsid w:val="0016138D"/>
    <w:rsid w:val="00162678"/>
    <w:rsid w:val="0016394F"/>
    <w:rsid w:val="001650F1"/>
    <w:rsid w:val="00166821"/>
    <w:rsid w:val="0016696B"/>
    <w:rsid w:val="001706A1"/>
    <w:rsid w:val="00172359"/>
    <w:rsid w:val="00172AAC"/>
    <w:rsid w:val="001737B1"/>
    <w:rsid w:val="001748C4"/>
    <w:rsid w:val="00174A0F"/>
    <w:rsid w:val="00175729"/>
    <w:rsid w:val="00177790"/>
    <w:rsid w:val="0018148B"/>
    <w:rsid w:val="001831D8"/>
    <w:rsid w:val="00184692"/>
    <w:rsid w:val="00184BA7"/>
    <w:rsid w:val="001852C2"/>
    <w:rsid w:val="0018689E"/>
    <w:rsid w:val="001916D0"/>
    <w:rsid w:val="001935E7"/>
    <w:rsid w:val="001938F3"/>
    <w:rsid w:val="00193E07"/>
    <w:rsid w:val="001949B4"/>
    <w:rsid w:val="00196006"/>
    <w:rsid w:val="001962E9"/>
    <w:rsid w:val="001A1D16"/>
    <w:rsid w:val="001A329B"/>
    <w:rsid w:val="001A34BF"/>
    <w:rsid w:val="001A4DB0"/>
    <w:rsid w:val="001A6E23"/>
    <w:rsid w:val="001A6F11"/>
    <w:rsid w:val="001A73AF"/>
    <w:rsid w:val="001B0B4E"/>
    <w:rsid w:val="001B0B8B"/>
    <w:rsid w:val="001B1148"/>
    <w:rsid w:val="001B17A5"/>
    <w:rsid w:val="001B38BF"/>
    <w:rsid w:val="001B3D9C"/>
    <w:rsid w:val="001B5CB0"/>
    <w:rsid w:val="001C108B"/>
    <w:rsid w:val="001C26D6"/>
    <w:rsid w:val="001C2ADD"/>
    <w:rsid w:val="001C4597"/>
    <w:rsid w:val="001C510D"/>
    <w:rsid w:val="001D01E9"/>
    <w:rsid w:val="001D748B"/>
    <w:rsid w:val="001D7C5D"/>
    <w:rsid w:val="001E1CB3"/>
    <w:rsid w:val="001E212B"/>
    <w:rsid w:val="001E2BF3"/>
    <w:rsid w:val="001E4BC8"/>
    <w:rsid w:val="001E5580"/>
    <w:rsid w:val="001E60C7"/>
    <w:rsid w:val="001E65F0"/>
    <w:rsid w:val="001F0A66"/>
    <w:rsid w:val="001F1CD8"/>
    <w:rsid w:val="001F3134"/>
    <w:rsid w:val="001F3284"/>
    <w:rsid w:val="001F396B"/>
    <w:rsid w:val="001F4363"/>
    <w:rsid w:val="001F49D6"/>
    <w:rsid w:val="001F78F4"/>
    <w:rsid w:val="0020104E"/>
    <w:rsid w:val="00201786"/>
    <w:rsid w:val="002018D8"/>
    <w:rsid w:val="0020236D"/>
    <w:rsid w:val="002023C9"/>
    <w:rsid w:val="0020255D"/>
    <w:rsid w:val="0020479D"/>
    <w:rsid w:val="00204A3D"/>
    <w:rsid w:val="00204EFB"/>
    <w:rsid w:val="00205D65"/>
    <w:rsid w:val="00206CAB"/>
    <w:rsid w:val="002079A0"/>
    <w:rsid w:val="00212EF5"/>
    <w:rsid w:val="00213719"/>
    <w:rsid w:val="00213860"/>
    <w:rsid w:val="00213E23"/>
    <w:rsid w:val="00213E3F"/>
    <w:rsid w:val="0021463C"/>
    <w:rsid w:val="00215D7A"/>
    <w:rsid w:val="0021649E"/>
    <w:rsid w:val="00217C67"/>
    <w:rsid w:val="00220024"/>
    <w:rsid w:val="00220541"/>
    <w:rsid w:val="002212D1"/>
    <w:rsid w:val="002216EE"/>
    <w:rsid w:val="00221949"/>
    <w:rsid w:val="00223728"/>
    <w:rsid w:val="00224393"/>
    <w:rsid w:val="0022472E"/>
    <w:rsid w:val="002249AC"/>
    <w:rsid w:val="00224A30"/>
    <w:rsid w:val="00225292"/>
    <w:rsid w:val="00225685"/>
    <w:rsid w:val="002268F2"/>
    <w:rsid w:val="00231016"/>
    <w:rsid w:val="00231129"/>
    <w:rsid w:val="0023141C"/>
    <w:rsid w:val="00232B9B"/>
    <w:rsid w:val="00233F15"/>
    <w:rsid w:val="00235282"/>
    <w:rsid w:val="002365EF"/>
    <w:rsid w:val="00236C48"/>
    <w:rsid w:val="00236EC9"/>
    <w:rsid w:val="002371C6"/>
    <w:rsid w:val="002404A8"/>
    <w:rsid w:val="00240697"/>
    <w:rsid w:val="0024069F"/>
    <w:rsid w:val="0024175F"/>
    <w:rsid w:val="00241F69"/>
    <w:rsid w:val="00244955"/>
    <w:rsid w:val="00245BAB"/>
    <w:rsid w:val="00246235"/>
    <w:rsid w:val="0024676E"/>
    <w:rsid w:val="00246E10"/>
    <w:rsid w:val="00246E7E"/>
    <w:rsid w:val="002470C2"/>
    <w:rsid w:val="002476C6"/>
    <w:rsid w:val="002504C8"/>
    <w:rsid w:val="00250F10"/>
    <w:rsid w:val="00253A96"/>
    <w:rsid w:val="00253E1E"/>
    <w:rsid w:val="00254515"/>
    <w:rsid w:val="0025464E"/>
    <w:rsid w:val="00257411"/>
    <w:rsid w:val="0025783B"/>
    <w:rsid w:val="00260C3A"/>
    <w:rsid w:val="00260EAD"/>
    <w:rsid w:val="002615B7"/>
    <w:rsid w:val="00261618"/>
    <w:rsid w:val="0026270D"/>
    <w:rsid w:val="00263FD6"/>
    <w:rsid w:val="00264CDE"/>
    <w:rsid w:val="0026527D"/>
    <w:rsid w:val="002654BA"/>
    <w:rsid w:val="00265AA2"/>
    <w:rsid w:val="00266360"/>
    <w:rsid w:val="00266DB2"/>
    <w:rsid w:val="002715DC"/>
    <w:rsid w:val="00271749"/>
    <w:rsid w:val="00271A28"/>
    <w:rsid w:val="00273859"/>
    <w:rsid w:val="002751E9"/>
    <w:rsid w:val="00283A74"/>
    <w:rsid w:val="00283C0D"/>
    <w:rsid w:val="00283C7B"/>
    <w:rsid w:val="00283D78"/>
    <w:rsid w:val="00284703"/>
    <w:rsid w:val="00284ACC"/>
    <w:rsid w:val="00284C68"/>
    <w:rsid w:val="002853C4"/>
    <w:rsid w:val="00285DB4"/>
    <w:rsid w:val="00286B99"/>
    <w:rsid w:val="00286D38"/>
    <w:rsid w:val="00287262"/>
    <w:rsid w:val="0028795B"/>
    <w:rsid w:val="00287B5B"/>
    <w:rsid w:val="00292F26"/>
    <w:rsid w:val="0029323D"/>
    <w:rsid w:val="00295105"/>
    <w:rsid w:val="00297E06"/>
    <w:rsid w:val="002A09E3"/>
    <w:rsid w:val="002A12D3"/>
    <w:rsid w:val="002A191F"/>
    <w:rsid w:val="002A30E1"/>
    <w:rsid w:val="002A31B2"/>
    <w:rsid w:val="002A3471"/>
    <w:rsid w:val="002A6A8E"/>
    <w:rsid w:val="002A7CBF"/>
    <w:rsid w:val="002B0D3D"/>
    <w:rsid w:val="002B0D89"/>
    <w:rsid w:val="002B228C"/>
    <w:rsid w:val="002B3287"/>
    <w:rsid w:val="002B3498"/>
    <w:rsid w:val="002B40E0"/>
    <w:rsid w:val="002B44F7"/>
    <w:rsid w:val="002B52AB"/>
    <w:rsid w:val="002B73CA"/>
    <w:rsid w:val="002B7448"/>
    <w:rsid w:val="002B7F13"/>
    <w:rsid w:val="002C2EEA"/>
    <w:rsid w:val="002C4098"/>
    <w:rsid w:val="002C54D6"/>
    <w:rsid w:val="002C7558"/>
    <w:rsid w:val="002D0BDE"/>
    <w:rsid w:val="002D1466"/>
    <w:rsid w:val="002D2171"/>
    <w:rsid w:val="002D2248"/>
    <w:rsid w:val="002D3097"/>
    <w:rsid w:val="002D411D"/>
    <w:rsid w:val="002D41C1"/>
    <w:rsid w:val="002D5F06"/>
    <w:rsid w:val="002D717E"/>
    <w:rsid w:val="002D7DA5"/>
    <w:rsid w:val="002E1C97"/>
    <w:rsid w:val="002E1E86"/>
    <w:rsid w:val="002E2C7F"/>
    <w:rsid w:val="002E302C"/>
    <w:rsid w:val="002E3055"/>
    <w:rsid w:val="002E3422"/>
    <w:rsid w:val="002E4FC1"/>
    <w:rsid w:val="002F0609"/>
    <w:rsid w:val="002F2BA6"/>
    <w:rsid w:val="002F2CD8"/>
    <w:rsid w:val="00300A53"/>
    <w:rsid w:val="003047D8"/>
    <w:rsid w:val="003049C3"/>
    <w:rsid w:val="0030533F"/>
    <w:rsid w:val="003059E3"/>
    <w:rsid w:val="00310C51"/>
    <w:rsid w:val="00311966"/>
    <w:rsid w:val="00312472"/>
    <w:rsid w:val="00312970"/>
    <w:rsid w:val="00312E14"/>
    <w:rsid w:val="003151A5"/>
    <w:rsid w:val="00316207"/>
    <w:rsid w:val="003171C0"/>
    <w:rsid w:val="0032005D"/>
    <w:rsid w:val="00320458"/>
    <w:rsid w:val="00320836"/>
    <w:rsid w:val="00322A01"/>
    <w:rsid w:val="00324351"/>
    <w:rsid w:val="0032471D"/>
    <w:rsid w:val="00326224"/>
    <w:rsid w:val="00330214"/>
    <w:rsid w:val="00330B7F"/>
    <w:rsid w:val="00331958"/>
    <w:rsid w:val="00331C4D"/>
    <w:rsid w:val="00331EF0"/>
    <w:rsid w:val="00332C88"/>
    <w:rsid w:val="003342B6"/>
    <w:rsid w:val="00335582"/>
    <w:rsid w:val="003374D8"/>
    <w:rsid w:val="00340C7E"/>
    <w:rsid w:val="003413E5"/>
    <w:rsid w:val="00341EB5"/>
    <w:rsid w:val="00342864"/>
    <w:rsid w:val="003457EC"/>
    <w:rsid w:val="0034643C"/>
    <w:rsid w:val="00346567"/>
    <w:rsid w:val="00346C5D"/>
    <w:rsid w:val="00346EC3"/>
    <w:rsid w:val="00347C0E"/>
    <w:rsid w:val="0035304B"/>
    <w:rsid w:val="003543E7"/>
    <w:rsid w:val="00357755"/>
    <w:rsid w:val="0036032F"/>
    <w:rsid w:val="0036055D"/>
    <w:rsid w:val="00362A80"/>
    <w:rsid w:val="00362B95"/>
    <w:rsid w:val="0036356E"/>
    <w:rsid w:val="003635E7"/>
    <w:rsid w:val="0036388A"/>
    <w:rsid w:val="00367D3A"/>
    <w:rsid w:val="003728A8"/>
    <w:rsid w:val="00372F9E"/>
    <w:rsid w:val="00374D76"/>
    <w:rsid w:val="00374FA0"/>
    <w:rsid w:val="0037542A"/>
    <w:rsid w:val="00375681"/>
    <w:rsid w:val="00375A05"/>
    <w:rsid w:val="00376512"/>
    <w:rsid w:val="00376A99"/>
    <w:rsid w:val="00376D0B"/>
    <w:rsid w:val="00376D36"/>
    <w:rsid w:val="00376F9E"/>
    <w:rsid w:val="00380960"/>
    <w:rsid w:val="00380F20"/>
    <w:rsid w:val="00381009"/>
    <w:rsid w:val="00384CB0"/>
    <w:rsid w:val="00385677"/>
    <w:rsid w:val="00386E04"/>
    <w:rsid w:val="00390085"/>
    <w:rsid w:val="003913B7"/>
    <w:rsid w:val="00393515"/>
    <w:rsid w:val="0039476B"/>
    <w:rsid w:val="00394946"/>
    <w:rsid w:val="00395555"/>
    <w:rsid w:val="0039604A"/>
    <w:rsid w:val="00397673"/>
    <w:rsid w:val="00397B23"/>
    <w:rsid w:val="003A143E"/>
    <w:rsid w:val="003A2C90"/>
    <w:rsid w:val="003A3202"/>
    <w:rsid w:val="003A4E7A"/>
    <w:rsid w:val="003A5302"/>
    <w:rsid w:val="003A600D"/>
    <w:rsid w:val="003A668A"/>
    <w:rsid w:val="003A6AEB"/>
    <w:rsid w:val="003B08D2"/>
    <w:rsid w:val="003B2736"/>
    <w:rsid w:val="003B2E89"/>
    <w:rsid w:val="003B4697"/>
    <w:rsid w:val="003B5C5A"/>
    <w:rsid w:val="003B67FE"/>
    <w:rsid w:val="003B77C6"/>
    <w:rsid w:val="003C1652"/>
    <w:rsid w:val="003C2BCD"/>
    <w:rsid w:val="003C2E0C"/>
    <w:rsid w:val="003C2EC1"/>
    <w:rsid w:val="003C2F89"/>
    <w:rsid w:val="003C2FAE"/>
    <w:rsid w:val="003C33A1"/>
    <w:rsid w:val="003C3674"/>
    <w:rsid w:val="003C5605"/>
    <w:rsid w:val="003C5CD8"/>
    <w:rsid w:val="003C7D5E"/>
    <w:rsid w:val="003D13FB"/>
    <w:rsid w:val="003D2BC9"/>
    <w:rsid w:val="003D5532"/>
    <w:rsid w:val="003D5754"/>
    <w:rsid w:val="003D6188"/>
    <w:rsid w:val="003D635B"/>
    <w:rsid w:val="003D6ACE"/>
    <w:rsid w:val="003D7DE0"/>
    <w:rsid w:val="003E2B08"/>
    <w:rsid w:val="003E357A"/>
    <w:rsid w:val="003E53DA"/>
    <w:rsid w:val="003E6863"/>
    <w:rsid w:val="003F1352"/>
    <w:rsid w:val="003F2755"/>
    <w:rsid w:val="003F5243"/>
    <w:rsid w:val="003F5FBD"/>
    <w:rsid w:val="00400256"/>
    <w:rsid w:val="0040187F"/>
    <w:rsid w:val="004024AF"/>
    <w:rsid w:val="00402E68"/>
    <w:rsid w:val="00402F2C"/>
    <w:rsid w:val="00403DD7"/>
    <w:rsid w:val="0040757C"/>
    <w:rsid w:val="0041043A"/>
    <w:rsid w:val="00410C89"/>
    <w:rsid w:val="004116C6"/>
    <w:rsid w:val="00412116"/>
    <w:rsid w:val="00414D32"/>
    <w:rsid w:val="0041650C"/>
    <w:rsid w:val="00420DBF"/>
    <w:rsid w:val="0042162D"/>
    <w:rsid w:val="00421BAB"/>
    <w:rsid w:val="004222E1"/>
    <w:rsid w:val="00422374"/>
    <w:rsid w:val="00423656"/>
    <w:rsid w:val="00424760"/>
    <w:rsid w:val="00426C5B"/>
    <w:rsid w:val="00426DAF"/>
    <w:rsid w:val="004274CF"/>
    <w:rsid w:val="004278FC"/>
    <w:rsid w:val="00431284"/>
    <w:rsid w:val="00431A8D"/>
    <w:rsid w:val="00432B6E"/>
    <w:rsid w:val="0043321E"/>
    <w:rsid w:val="0043402C"/>
    <w:rsid w:val="00434FCB"/>
    <w:rsid w:val="0043616C"/>
    <w:rsid w:val="004361D0"/>
    <w:rsid w:val="004364A1"/>
    <w:rsid w:val="004367D5"/>
    <w:rsid w:val="00437886"/>
    <w:rsid w:val="00437BEA"/>
    <w:rsid w:val="00441535"/>
    <w:rsid w:val="00441A4A"/>
    <w:rsid w:val="00442DCD"/>
    <w:rsid w:val="004446DA"/>
    <w:rsid w:val="00444BCC"/>
    <w:rsid w:val="00445750"/>
    <w:rsid w:val="004473E6"/>
    <w:rsid w:val="004500EE"/>
    <w:rsid w:val="0045104D"/>
    <w:rsid w:val="004515FC"/>
    <w:rsid w:val="0045187A"/>
    <w:rsid w:val="00452D52"/>
    <w:rsid w:val="004533C9"/>
    <w:rsid w:val="00453DA9"/>
    <w:rsid w:val="004556E2"/>
    <w:rsid w:val="00455749"/>
    <w:rsid w:val="00455822"/>
    <w:rsid w:val="00456714"/>
    <w:rsid w:val="00457C70"/>
    <w:rsid w:val="00460892"/>
    <w:rsid w:val="004614AA"/>
    <w:rsid w:val="00462982"/>
    <w:rsid w:val="00462AF2"/>
    <w:rsid w:val="00465CA9"/>
    <w:rsid w:val="00467B4E"/>
    <w:rsid w:val="00470333"/>
    <w:rsid w:val="00470A89"/>
    <w:rsid w:val="00471A33"/>
    <w:rsid w:val="00475C56"/>
    <w:rsid w:val="004761D0"/>
    <w:rsid w:val="00476907"/>
    <w:rsid w:val="00476C0C"/>
    <w:rsid w:val="00482D20"/>
    <w:rsid w:val="00483D98"/>
    <w:rsid w:val="0048476E"/>
    <w:rsid w:val="0048640E"/>
    <w:rsid w:val="00486650"/>
    <w:rsid w:val="004901EF"/>
    <w:rsid w:val="00490853"/>
    <w:rsid w:val="00491120"/>
    <w:rsid w:val="00492A26"/>
    <w:rsid w:val="00492AEA"/>
    <w:rsid w:val="00493C8C"/>
    <w:rsid w:val="004941D1"/>
    <w:rsid w:val="004968F4"/>
    <w:rsid w:val="00496B93"/>
    <w:rsid w:val="00496EEF"/>
    <w:rsid w:val="00497355"/>
    <w:rsid w:val="004A0C64"/>
    <w:rsid w:val="004A0F17"/>
    <w:rsid w:val="004A1BE6"/>
    <w:rsid w:val="004A2A0A"/>
    <w:rsid w:val="004A3ACA"/>
    <w:rsid w:val="004A66D8"/>
    <w:rsid w:val="004A6C3B"/>
    <w:rsid w:val="004A71B0"/>
    <w:rsid w:val="004B0246"/>
    <w:rsid w:val="004B25F8"/>
    <w:rsid w:val="004B3A90"/>
    <w:rsid w:val="004B4FCF"/>
    <w:rsid w:val="004B5889"/>
    <w:rsid w:val="004B6759"/>
    <w:rsid w:val="004B7DCF"/>
    <w:rsid w:val="004C049A"/>
    <w:rsid w:val="004C1692"/>
    <w:rsid w:val="004C3C9B"/>
    <w:rsid w:val="004C48E4"/>
    <w:rsid w:val="004C6635"/>
    <w:rsid w:val="004C673A"/>
    <w:rsid w:val="004C76AE"/>
    <w:rsid w:val="004C7748"/>
    <w:rsid w:val="004D182B"/>
    <w:rsid w:val="004D2422"/>
    <w:rsid w:val="004D27AB"/>
    <w:rsid w:val="004D53CD"/>
    <w:rsid w:val="004D71D2"/>
    <w:rsid w:val="004D7F2D"/>
    <w:rsid w:val="004E0C4B"/>
    <w:rsid w:val="004E0F9E"/>
    <w:rsid w:val="004E12B8"/>
    <w:rsid w:val="004E130D"/>
    <w:rsid w:val="004E18B1"/>
    <w:rsid w:val="004E18D4"/>
    <w:rsid w:val="004E1ABA"/>
    <w:rsid w:val="004E2A2B"/>
    <w:rsid w:val="004E32F6"/>
    <w:rsid w:val="004E371F"/>
    <w:rsid w:val="004E5405"/>
    <w:rsid w:val="004E6536"/>
    <w:rsid w:val="004E6D8F"/>
    <w:rsid w:val="004E735D"/>
    <w:rsid w:val="004E7B27"/>
    <w:rsid w:val="004F0030"/>
    <w:rsid w:val="004F12BD"/>
    <w:rsid w:val="004F2A4E"/>
    <w:rsid w:val="004F2D12"/>
    <w:rsid w:val="004F31E9"/>
    <w:rsid w:val="004F3B47"/>
    <w:rsid w:val="004F4028"/>
    <w:rsid w:val="004F518D"/>
    <w:rsid w:val="004F598D"/>
    <w:rsid w:val="005005B4"/>
    <w:rsid w:val="0050065B"/>
    <w:rsid w:val="005025E2"/>
    <w:rsid w:val="00502C21"/>
    <w:rsid w:val="005035C5"/>
    <w:rsid w:val="00507A50"/>
    <w:rsid w:val="0051136D"/>
    <w:rsid w:val="00511AE1"/>
    <w:rsid w:val="00511EFB"/>
    <w:rsid w:val="005121A8"/>
    <w:rsid w:val="0051223C"/>
    <w:rsid w:val="0051258A"/>
    <w:rsid w:val="00514071"/>
    <w:rsid w:val="005140DF"/>
    <w:rsid w:val="005157D5"/>
    <w:rsid w:val="0051618E"/>
    <w:rsid w:val="005169B9"/>
    <w:rsid w:val="0051705F"/>
    <w:rsid w:val="0051708B"/>
    <w:rsid w:val="0052106F"/>
    <w:rsid w:val="00521224"/>
    <w:rsid w:val="00521BAD"/>
    <w:rsid w:val="0052331A"/>
    <w:rsid w:val="00523617"/>
    <w:rsid w:val="00523846"/>
    <w:rsid w:val="00523BCF"/>
    <w:rsid w:val="00524479"/>
    <w:rsid w:val="00524A53"/>
    <w:rsid w:val="00530565"/>
    <w:rsid w:val="00532108"/>
    <w:rsid w:val="00534941"/>
    <w:rsid w:val="00534CA8"/>
    <w:rsid w:val="00535A05"/>
    <w:rsid w:val="00536448"/>
    <w:rsid w:val="00537436"/>
    <w:rsid w:val="005400FA"/>
    <w:rsid w:val="00542CFF"/>
    <w:rsid w:val="005430F6"/>
    <w:rsid w:val="005438BD"/>
    <w:rsid w:val="0054685D"/>
    <w:rsid w:val="00546B5F"/>
    <w:rsid w:val="005478A9"/>
    <w:rsid w:val="0055008A"/>
    <w:rsid w:val="0055164C"/>
    <w:rsid w:val="00553CEC"/>
    <w:rsid w:val="00554A1D"/>
    <w:rsid w:val="005560D5"/>
    <w:rsid w:val="00556397"/>
    <w:rsid w:val="00556CC5"/>
    <w:rsid w:val="00557146"/>
    <w:rsid w:val="00557DD5"/>
    <w:rsid w:val="00561B35"/>
    <w:rsid w:val="00561ECA"/>
    <w:rsid w:val="00564096"/>
    <w:rsid w:val="00566215"/>
    <w:rsid w:val="00566594"/>
    <w:rsid w:val="00567612"/>
    <w:rsid w:val="00567B69"/>
    <w:rsid w:val="00570147"/>
    <w:rsid w:val="005706DE"/>
    <w:rsid w:val="005712F3"/>
    <w:rsid w:val="00571FEC"/>
    <w:rsid w:val="00572E9E"/>
    <w:rsid w:val="005739E5"/>
    <w:rsid w:val="005742DA"/>
    <w:rsid w:val="00575354"/>
    <w:rsid w:val="0057633E"/>
    <w:rsid w:val="00576A62"/>
    <w:rsid w:val="00580405"/>
    <w:rsid w:val="00580742"/>
    <w:rsid w:val="005807A9"/>
    <w:rsid w:val="00581D84"/>
    <w:rsid w:val="005829F2"/>
    <w:rsid w:val="00583A25"/>
    <w:rsid w:val="00583D20"/>
    <w:rsid w:val="00586332"/>
    <w:rsid w:val="00587EF5"/>
    <w:rsid w:val="005901EE"/>
    <w:rsid w:val="00592E1D"/>
    <w:rsid w:val="0059335E"/>
    <w:rsid w:val="00595300"/>
    <w:rsid w:val="00596611"/>
    <w:rsid w:val="0059786E"/>
    <w:rsid w:val="005A075C"/>
    <w:rsid w:val="005A1848"/>
    <w:rsid w:val="005A4388"/>
    <w:rsid w:val="005A46C2"/>
    <w:rsid w:val="005A4B4A"/>
    <w:rsid w:val="005A4B64"/>
    <w:rsid w:val="005A4EA6"/>
    <w:rsid w:val="005A5ADC"/>
    <w:rsid w:val="005A5E59"/>
    <w:rsid w:val="005B099D"/>
    <w:rsid w:val="005B0B7C"/>
    <w:rsid w:val="005B4D5A"/>
    <w:rsid w:val="005B6929"/>
    <w:rsid w:val="005B6A89"/>
    <w:rsid w:val="005B7DB1"/>
    <w:rsid w:val="005B7FA9"/>
    <w:rsid w:val="005C221F"/>
    <w:rsid w:val="005C2A4E"/>
    <w:rsid w:val="005C3F87"/>
    <w:rsid w:val="005C4FD0"/>
    <w:rsid w:val="005C68A6"/>
    <w:rsid w:val="005C7986"/>
    <w:rsid w:val="005D0B1A"/>
    <w:rsid w:val="005D328C"/>
    <w:rsid w:val="005D4094"/>
    <w:rsid w:val="005D4D5B"/>
    <w:rsid w:val="005D644C"/>
    <w:rsid w:val="005E0F74"/>
    <w:rsid w:val="005E3A6F"/>
    <w:rsid w:val="005E4A65"/>
    <w:rsid w:val="005E5BEE"/>
    <w:rsid w:val="005E62B2"/>
    <w:rsid w:val="005E6EE3"/>
    <w:rsid w:val="005E7746"/>
    <w:rsid w:val="005F080D"/>
    <w:rsid w:val="005F0901"/>
    <w:rsid w:val="005F28D4"/>
    <w:rsid w:val="005F2E59"/>
    <w:rsid w:val="005F3676"/>
    <w:rsid w:val="005F4D33"/>
    <w:rsid w:val="005F55D1"/>
    <w:rsid w:val="005F59B8"/>
    <w:rsid w:val="005F6050"/>
    <w:rsid w:val="00601211"/>
    <w:rsid w:val="006014EA"/>
    <w:rsid w:val="00601729"/>
    <w:rsid w:val="00604784"/>
    <w:rsid w:val="00604AA2"/>
    <w:rsid w:val="0060659A"/>
    <w:rsid w:val="00606A0C"/>
    <w:rsid w:val="00606FFD"/>
    <w:rsid w:val="00607967"/>
    <w:rsid w:val="00607E6A"/>
    <w:rsid w:val="006109F3"/>
    <w:rsid w:val="00610B00"/>
    <w:rsid w:val="006124CD"/>
    <w:rsid w:val="00612642"/>
    <w:rsid w:val="00612B0F"/>
    <w:rsid w:val="0061321A"/>
    <w:rsid w:val="0061396A"/>
    <w:rsid w:val="00615B3D"/>
    <w:rsid w:val="006169AC"/>
    <w:rsid w:val="00616F89"/>
    <w:rsid w:val="00617183"/>
    <w:rsid w:val="006172A6"/>
    <w:rsid w:val="00617910"/>
    <w:rsid w:val="00617BDF"/>
    <w:rsid w:val="00621F9E"/>
    <w:rsid w:val="00623F42"/>
    <w:rsid w:val="00624C48"/>
    <w:rsid w:val="006269DC"/>
    <w:rsid w:val="0063024C"/>
    <w:rsid w:val="00631900"/>
    <w:rsid w:val="0063220C"/>
    <w:rsid w:val="00633E1F"/>
    <w:rsid w:val="00634024"/>
    <w:rsid w:val="00634B37"/>
    <w:rsid w:val="00637467"/>
    <w:rsid w:val="00637563"/>
    <w:rsid w:val="0063796C"/>
    <w:rsid w:val="00637F62"/>
    <w:rsid w:val="00640989"/>
    <w:rsid w:val="006409F4"/>
    <w:rsid w:val="00640A84"/>
    <w:rsid w:val="00641D4D"/>
    <w:rsid w:val="006437F9"/>
    <w:rsid w:val="0064416A"/>
    <w:rsid w:val="0064556E"/>
    <w:rsid w:val="006460FC"/>
    <w:rsid w:val="006461C6"/>
    <w:rsid w:val="006462E1"/>
    <w:rsid w:val="00646B40"/>
    <w:rsid w:val="006514C6"/>
    <w:rsid w:val="00653880"/>
    <w:rsid w:val="00656FA2"/>
    <w:rsid w:val="00660705"/>
    <w:rsid w:val="006607C2"/>
    <w:rsid w:val="0066138B"/>
    <w:rsid w:val="00662A1D"/>
    <w:rsid w:val="0066429A"/>
    <w:rsid w:val="006645BC"/>
    <w:rsid w:val="00664DDB"/>
    <w:rsid w:val="00666695"/>
    <w:rsid w:val="00667696"/>
    <w:rsid w:val="00670388"/>
    <w:rsid w:val="006708E2"/>
    <w:rsid w:val="00670DB8"/>
    <w:rsid w:val="0067181B"/>
    <w:rsid w:val="006718FC"/>
    <w:rsid w:val="00673829"/>
    <w:rsid w:val="00674037"/>
    <w:rsid w:val="006741A3"/>
    <w:rsid w:val="00675353"/>
    <w:rsid w:val="00675AF5"/>
    <w:rsid w:val="00676115"/>
    <w:rsid w:val="0067625A"/>
    <w:rsid w:val="00676C7F"/>
    <w:rsid w:val="00677944"/>
    <w:rsid w:val="006800D9"/>
    <w:rsid w:val="00680B2C"/>
    <w:rsid w:val="00681809"/>
    <w:rsid w:val="00682C08"/>
    <w:rsid w:val="00682D7B"/>
    <w:rsid w:val="00683D45"/>
    <w:rsid w:val="0068468B"/>
    <w:rsid w:val="0068546E"/>
    <w:rsid w:val="00685628"/>
    <w:rsid w:val="00687E97"/>
    <w:rsid w:val="006900BD"/>
    <w:rsid w:val="0069046F"/>
    <w:rsid w:val="00690DAB"/>
    <w:rsid w:val="00691CDF"/>
    <w:rsid w:val="00692A8B"/>
    <w:rsid w:val="0069304C"/>
    <w:rsid w:val="00693E8B"/>
    <w:rsid w:val="0069431E"/>
    <w:rsid w:val="006954E0"/>
    <w:rsid w:val="00695926"/>
    <w:rsid w:val="00696326"/>
    <w:rsid w:val="006966C3"/>
    <w:rsid w:val="00696B5D"/>
    <w:rsid w:val="006A4887"/>
    <w:rsid w:val="006A4F4C"/>
    <w:rsid w:val="006A5C26"/>
    <w:rsid w:val="006A5CBC"/>
    <w:rsid w:val="006A7067"/>
    <w:rsid w:val="006A71D5"/>
    <w:rsid w:val="006A7791"/>
    <w:rsid w:val="006A77FE"/>
    <w:rsid w:val="006A7B75"/>
    <w:rsid w:val="006B0653"/>
    <w:rsid w:val="006B12EF"/>
    <w:rsid w:val="006B3537"/>
    <w:rsid w:val="006B39A5"/>
    <w:rsid w:val="006B4DBC"/>
    <w:rsid w:val="006B5399"/>
    <w:rsid w:val="006B57BA"/>
    <w:rsid w:val="006B5BD1"/>
    <w:rsid w:val="006B6530"/>
    <w:rsid w:val="006C0AE8"/>
    <w:rsid w:val="006C31C6"/>
    <w:rsid w:val="006C37E2"/>
    <w:rsid w:val="006C3C67"/>
    <w:rsid w:val="006C5C47"/>
    <w:rsid w:val="006C6A56"/>
    <w:rsid w:val="006D1236"/>
    <w:rsid w:val="006D194D"/>
    <w:rsid w:val="006D3D85"/>
    <w:rsid w:val="006D4CA5"/>
    <w:rsid w:val="006D55B8"/>
    <w:rsid w:val="006D664F"/>
    <w:rsid w:val="006D6FC9"/>
    <w:rsid w:val="006D7E09"/>
    <w:rsid w:val="006D7ED3"/>
    <w:rsid w:val="006E03C3"/>
    <w:rsid w:val="006E20E2"/>
    <w:rsid w:val="006E224D"/>
    <w:rsid w:val="006E2C16"/>
    <w:rsid w:val="006E3CA5"/>
    <w:rsid w:val="006E3D3C"/>
    <w:rsid w:val="006E4FCC"/>
    <w:rsid w:val="006E5047"/>
    <w:rsid w:val="006E6A54"/>
    <w:rsid w:val="006E7395"/>
    <w:rsid w:val="006F0E34"/>
    <w:rsid w:val="006F1EBB"/>
    <w:rsid w:val="006F2288"/>
    <w:rsid w:val="006F2884"/>
    <w:rsid w:val="006F4010"/>
    <w:rsid w:val="006F423F"/>
    <w:rsid w:val="006F6A3D"/>
    <w:rsid w:val="00700A61"/>
    <w:rsid w:val="00701542"/>
    <w:rsid w:val="007035B4"/>
    <w:rsid w:val="00703C42"/>
    <w:rsid w:val="007042B9"/>
    <w:rsid w:val="00704FCA"/>
    <w:rsid w:val="0070507F"/>
    <w:rsid w:val="00705F90"/>
    <w:rsid w:val="0070619C"/>
    <w:rsid w:val="0070624F"/>
    <w:rsid w:val="00707C58"/>
    <w:rsid w:val="00710725"/>
    <w:rsid w:val="00711D6E"/>
    <w:rsid w:val="007123DC"/>
    <w:rsid w:val="00713C04"/>
    <w:rsid w:val="00715C74"/>
    <w:rsid w:val="007171EE"/>
    <w:rsid w:val="007213C7"/>
    <w:rsid w:val="007238FE"/>
    <w:rsid w:val="00724A46"/>
    <w:rsid w:val="00725B93"/>
    <w:rsid w:val="00726506"/>
    <w:rsid w:val="0072736C"/>
    <w:rsid w:val="0072737C"/>
    <w:rsid w:val="00730C07"/>
    <w:rsid w:val="00733D89"/>
    <w:rsid w:val="00733D96"/>
    <w:rsid w:val="00734B77"/>
    <w:rsid w:val="007371F6"/>
    <w:rsid w:val="00737856"/>
    <w:rsid w:val="007406B3"/>
    <w:rsid w:val="007415E1"/>
    <w:rsid w:val="00741B49"/>
    <w:rsid w:val="00741E3E"/>
    <w:rsid w:val="00744CF8"/>
    <w:rsid w:val="00746067"/>
    <w:rsid w:val="007468E3"/>
    <w:rsid w:val="00747B08"/>
    <w:rsid w:val="00752772"/>
    <w:rsid w:val="007530E6"/>
    <w:rsid w:val="007540F6"/>
    <w:rsid w:val="007549C3"/>
    <w:rsid w:val="00754D99"/>
    <w:rsid w:val="00757B55"/>
    <w:rsid w:val="00761443"/>
    <w:rsid w:val="00761595"/>
    <w:rsid w:val="00761C55"/>
    <w:rsid w:val="007641AF"/>
    <w:rsid w:val="00765377"/>
    <w:rsid w:val="007701AE"/>
    <w:rsid w:val="0077076C"/>
    <w:rsid w:val="007729AB"/>
    <w:rsid w:val="00772A42"/>
    <w:rsid w:val="00773E46"/>
    <w:rsid w:val="00774CDD"/>
    <w:rsid w:val="00777B89"/>
    <w:rsid w:val="00781AB7"/>
    <w:rsid w:val="00782757"/>
    <w:rsid w:val="00782DF4"/>
    <w:rsid w:val="00783D79"/>
    <w:rsid w:val="00783EDD"/>
    <w:rsid w:val="00784162"/>
    <w:rsid w:val="0078515D"/>
    <w:rsid w:val="00785CE7"/>
    <w:rsid w:val="00790A50"/>
    <w:rsid w:val="007948D9"/>
    <w:rsid w:val="00796554"/>
    <w:rsid w:val="00796D60"/>
    <w:rsid w:val="007A1A7F"/>
    <w:rsid w:val="007A29F7"/>
    <w:rsid w:val="007A3447"/>
    <w:rsid w:val="007A3D85"/>
    <w:rsid w:val="007A3DB7"/>
    <w:rsid w:val="007A4ADC"/>
    <w:rsid w:val="007A5E04"/>
    <w:rsid w:val="007A66D7"/>
    <w:rsid w:val="007B0347"/>
    <w:rsid w:val="007B0660"/>
    <w:rsid w:val="007B144B"/>
    <w:rsid w:val="007B2610"/>
    <w:rsid w:val="007B3F94"/>
    <w:rsid w:val="007B4555"/>
    <w:rsid w:val="007B5003"/>
    <w:rsid w:val="007B564A"/>
    <w:rsid w:val="007B5C3B"/>
    <w:rsid w:val="007B7A72"/>
    <w:rsid w:val="007C1026"/>
    <w:rsid w:val="007C2AEB"/>
    <w:rsid w:val="007C392F"/>
    <w:rsid w:val="007C4A0A"/>
    <w:rsid w:val="007C4CDC"/>
    <w:rsid w:val="007C5921"/>
    <w:rsid w:val="007D162A"/>
    <w:rsid w:val="007D1853"/>
    <w:rsid w:val="007D2751"/>
    <w:rsid w:val="007D293B"/>
    <w:rsid w:val="007D3A94"/>
    <w:rsid w:val="007D3F52"/>
    <w:rsid w:val="007D4FF4"/>
    <w:rsid w:val="007D5E5A"/>
    <w:rsid w:val="007D6338"/>
    <w:rsid w:val="007E1BC3"/>
    <w:rsid w:val="007E21B2"/>
    <w:rsid w:val="007E2381"/>
    <w:rsid w:val="007E2721"/>
    <w:rsid w:val="007E2956"/>
    <w:rsid w:val="007E2CE9"/>
    <w:rsid w:val="007E31DA"/>
    <w:rsid w:val="007E385B"/>
    <w:rsid w:val="007E3BEC"/>
    <w:rsid w:val="007E4E71"/>
    <w:rsid w:val="007E57C0"/>
    <w:rsid w:val="007E6E1A"/>
    <w:rsid w:val="007F0095"/>
    <w:rsid w:val="007F0762"/>
    <w:rsid w:val="007F076C"/>
    <w:rsid w:val="007F0DA2"/>
    <w:rsid w:val="007F15C4"/>
    <w:rsid w:val="007F22FB"/>
    <w:rsid w:val="007F2C18"/>
    <w:rsid w:val="007F53EE"/>
    <w:rsid w:val="007F5C81"/>
    <w:rsid w:val="007F637B"/>
    <w:rsid w:val="007F6DE9"/>
    <w:rsid w:val="007F70E0"/>
    <w:rsid w:val="00800AFC"/>
    <w:rsid w:val="00800CB8"/>
    <w:rsid w:val="00802773"/>
    <w:rsid w:val="008033F1"/>
    <w:rsid w:val="00803F79"/>
    <w:rsid w:val="008042F5"/>
    <w:rsid w:val="0080549B"/>
    <w:rsid w:val="00805E86"/>
    <w:rsid w:val="00810C5F"/>
    <w:rsid w:val="00810F6F"/>
    <w:rsid w:val="008115BE"/>
    <w:rsid w:val="008123A0"/>
    <w:rsid w:val="00814D45"/>
    <w:rsid w:val="00814FD6"/>
    <w:rsid w:val="00815BEF"/>
    <w:rsid w:val="00815DA4"/>
    <w:rsid w:val="00816CA3"/>
    <w:rsid w:val="0081764D"/>
    <w:rsid w:val="00820490"/>
    <w:rsid w:val="00820D21"/>
    <w:rsid w:val="00821462"/>
    <w:rsid w:val="0082305A"/>
    <w:rsid w:val="0082355A"/>
    <w:rsid w:val="00823B66"/>
    <w:rsid w:val="008244DA"/>
    <w:rsid w:val="00824689"/>
    <w:rsid w:val="00826451"/>
    <w:rsid w:val="008264D5"/>
    <w:rsid w:val="00826B4C"/>
    <w:rsid w:val="008305CA"/>
    <w:rsid w:val="008317B7"/>
    <w:rsid w:val="00832A76"/>
    <w:rsid w:val="00833F8D"/>
    <w:rsid w:val="0083562A"/>
    <w:rsid w:val="00835FE0"/>
    <w:rsid w:val="0084096B"/>
    <w:rsid w:val="00841C1C"/>
    <w:rsid w:val="008426F3"/>
    <w:rsid w:val="00843496"/>
    <w:rsid w:val="008434C3"/>
    <w:rsid w:val="00843A10"/>
    <w:rsid w:val="00844771"/>
    <w:rsid w:val="0084506F"/>
    <w:rsid w:val="008458E7"/>
    <w:rsid w:val="00845D6D"/>
    <w:rsid w:val="00846033"/>
    <w:rsid w:val="00846A94"/>
    <w:rsid w:val="00847687"/>
    <w:rsid w:val="008514BA"/>
    <w:rsid w:val="00851C58"/>
    <w:rsid w:val="0085302D"/>
    <w:rsid w:val="00853656"/>
    <w:rsid w:val="00854BBF"/>
    <w:rsid w:val="00854F9D"/>
    <w:rsid w:val="00856435"/>
    <w:rsid w:val="008565BD"/>
    <w:rsid w:val="00856721"/>
    <w:rsid w:val="00856AB6"/>
    <w:rsid w:val="00856BFF"/>
    <w:rsid w:val="00856EFA"/>
    <w:rsid w:val="008601D1"/>
    <w:rsid w:val="00860557"/>
    <w:rsid w:val="00862766"/>
    <w:rsid w:val="00862CE0"/>
    <w:rsid w:val="00862E7D"/>
    <w:rsid w:val="008634DF"/>
    <w:rsid w:val="00863E7E"/>
    <w:rsid w:val="00865C6E"/>
    <w:rsid w:val="0086686E"/>
    <w:rsid w:val="00866B7B"/>
    <w:rsid w:val="00870D50"/>
    <w:rsid w:val="00875EA7"/>
    <w:rsid w:val="00876A23"/>
    <w:rsid w:val="00880410"/>
    <w:rsid w:val="00880936"/>
    <w:rsid w:val="00880B39"/>
    <w:rsid w:val="008820DC"/>
    <w:rsid w:val="008829C6"/>
    <w:rsid w:val="008846B0"/>
    <w:rsid w:val="00884A30"/>
    <w:rsid w:val="008863C4"/>
    <w:rsid w:val="00887341"/>
    <w:rsid w:val="0088740A"/>
    <w:rsid w:val="0088776F"/>
    <w:rsid w:val="00887C89"/>
    <w:rsid w:val="00887FC4"/>
    <w:rsid w:val="008901FF"/>
    <w:rsid w:val="008903AF"/>
    <w:rsid w:val="00891F00"/>
    <w:rsid w:val="00894141"/>
    <w:rsid w:val="008954BA"/>
    <w:rsid w:val="008959D1"/>
    <w:rsid w:val="00897651"/>
    <w:rsid w:val="00897D4A"/>
    <w:rsid w:val="008A032C"/>
    <w:rsid w:val="008A09F1"/>
    <w:rsid w:val="008A1D9A"/>
    <w:rsid w:val="008A2094"/>
    <w:rsid w:val="008A3BFF"/>
    <w:rsid w:val="008A4E8A"/>
    <w:rsid w:val="008A749D"/>
    <w:rsid w:val="008A7B22"/>
    <w:rsid w:val="008B058A"/>
    <w:rsid w:val="008B1216"/>
    <w:rsid w:val="008B1559"/>
    <w:rsid w:val="008B1AF2"/>
    <w:rsid w:val="008B2998"/>
    <w:rsid w:val="008B299C"/>
    <w:rsid w:val="008B44A5"/>
    <w:rsid w:val="008B4D4D"/>
    <w:rsid w:val="008B4FEA"/>
    <w:rsid w:val="008B5D16"/>
    <w:rsid w:val="008B7425"/>
    <w:rsid w:val="008B7551"/>
    <w:rsid w:val="008C373C"/>
    <w:rsid w:val="008C42D8"/>
    <w:rsid w:val="008C44A9"/>
    <w:rsid w:val="008C5320"/>
    <w:rsid w:val="008C7317"/>
    <w:rsid w:val="008D0881"/>
    <w:rsid w:val="008D1B41"/>
    <w:rsid w:val="008D336F"/>
    <w:rsid w:val="008D3DB8"/>
    <w:rsid w:val="008D4AD3"/>
    <w:rsid w:val="008D5407"/>
    <w:rsid w:val="008D5A61"/>
    <w:rsid w:val="008D730A"/>
    <w:rsid w:val="008E0BED"/>
    <w:rsid w:val="008E32A9"/>
    <w:rsid w:val="008E3420"/>
    <w:rsid w:val="008E453D"/>
    <w:rsid w:val="008E4698"/>
    <w:rsid w:val="008E5491"/>
    <w:rsid w:val="008E7E03"/>
    <w:rsid w:val="008F0E31"/>
    <w:rsid w:val="008F1385"/>
    <w:rsid w:val="008F14C3"/>
    <w:rsid w:val="008F22A6"/>
    <w:rsid w:val="008F23AE"/>
    <w:rsid w:val="008F2AF5"/>
    <w:rsid w:val="008F43C5"/>
    <w:rsid w:val="008F59E5"/>
    <w:rsid w:val="008F5F94"/>
    <w:rsid w:val="008F615E"/>
    <w:rsid w:val="008F659B"/>
    <w:rsid w:val="008F78B6"/>
    <w:rsid w:val="008F7F1C"/>
    <w:rsid w:val="00900233"/>
    <w:rsid w:val="00900F45"/>
    <w:rsid w:val="00902837"/>
    <w:rsid w:val="00904451"/>
    <w:rsid w:val="009054B8"/>
    <w:rsid w:val="00907732"/>
    <w:rsid w:val="00907BAE"/>
    <w:rsid w:val="00911558"/>
    <w:rsid w:val="00912A86"/>
    <w:rsid w:val="0091377B"/>
    <w:rsid w:val="009137AE"/>
    <w:rsid w:val="00914551"/>
    <w:rsid w:val="00915C43"/>
    <w:rsid w:val="00916447"/>
    <w:rsid w:val="0091648B"/>
    <w:rsid w:val="0091687B"/>
    <w:rsid w:val="00916C9E"/>
    <w:rsid w:val="00917731"/>
    <w:rsid w:val="009178C5"/>
    <w:rsid w:val="00921072"/>
    <w:rsid w:val="0092111A"/>
    <w:rsid w:val="0092117E"/>
    <w:rsid w:val="009217AB"/>
    <w:rsid w:val="00922110"/>
    <w:rsid w:val="00923B4C"/>
    <w:rsid w:val="00924C62"/>
    <w:rsid w:val="00925409"/>
    <w:rsid w:val="00926BEC"/>
    <w:rsid w:val="00926CBE"/>
    <w:rsid w:val="00930382"/>
    <w:rsid w:val="00930E79"/>
    <w:rsid w:val="00931185"/>
    <w:rsid w:val="0093191B"/>
    <w:rsid w:val="00932FCB"/>
    <w:rsid w:val="00933556"/>
    <w:rsid w:val="0093412A"/>
    <w:rsid w:val="00934523"/>
    <w:rsid w:val="009358F8"/>
    <w:rsid w:val="009362A3"/>
    <w:rsid w:val="00936460"/>
    <w:rsid w:val="0093714C"/>
    <w:rsid w:val="00937C48"/>
    <w:rsid w:val="00937D11"/>
    <w:rsid w:val="009425E3"/>
    <w:rsid w:val="00943DE8"/>
    <w:rsid w:val="00944370"/>
    <w:rsid w:val="00944A9C"/>
    <w:rsid w:val="00945881"/>
    <w:rsid w:val="00947123"/>
    <w:rsid w:val="0095046B"/>
    <w:rsid w:val="00950A34"/>
    <w:rsid w:val="009517F4"/>
    <w:rsid w:val="00951E49"/>
    <w:rsid w:val="00952075"/>
    <w:rsid w:val="0095342B"/>
    <w:rsid w:val="0095596B"/>
    <w:rsid w:val="00955C14"/>
    <w:rsid w:val="00957284"/>
    <w:rsid w:val="0096102C"/>
    <w:rsid w:val="00962673"/>
    <w:rsid w:val="00964089"/>
    <w:rsid w:val="00964155"/>
    <w:rsid w:val="00965009"/>
    <w:rsid w:val="00966912"/>
    <w:rsid w:val="009672FA"/>
    <w:rsid w:val="00970CA3"/>
    <w:rsid w:val="00972764"/>
    <w:rsid w:val="00973CA9"/>
    <w:rsid w:val="00974EDD"/>
    <w:rsid w:val="00975E67"/>
    <w:rsid w:val="00976EAB"/>
    <w:rsid w:val="009816F6"/>
    <w:rsid w:val="009844DE"/>
    <w:rsid w:val="00985719"/>
    <w:rsid w:val="0098731B"/>
    <w:rsid w:val="00990386"/>
    <w:rsid w:val="00994036"/>
    <w:rsid w:val="0099475E"/>
    <w:rsid w:val="00994D87"/>
    <w:rsid w:val="00995104"/>
    <w:rsid w:val="009A09D2"/>
    <w:rsid w:val="009A0D0C"/>
    <w:rsid w:val="009A35E6"/>
    <w:rsid w:val="009A4069"/>
    <w:rsid w:val="009A5AEB"/>
    <w:rsid w:val="009A5CAB"/>
    <w:rsid w:val="009A61A5"/>
    <w:rsid w:val="009A79AA"/>
    <w:rsid w:val="009B14CB"/>
    <w:rsid w:val="009B1EB2"/>
    <w:rsid w:val="009B3C94"/>
    <w:rsid w:val="009B4B69"/>
    <w:rsid w:val="009B5438"/>
    <w:rsid w:val="009B626D"/>
    <w:rsid w:val="009B67CD"/>
    <w:rsid w:val="009B6B52"/>
    <w:rsid w:val="009B735C"/>
    <w:rsid w:val="009C0B32"/>
    <w:rsid w:val="009C15B2"/>
    <w:rsid w:val="009C1D7F"/>
    <w:rsid w:val="009C264C"/>
    <w:rsid w:val="009C3230"/>
    <w:rsid w:val="009C3B69"/>
    <w:rsid w:val="009C47CD"/>
    <w:rsid w:val="009C4AAA"/>
    <w:rsid w:val="009C4ECB"/>
    <w:rsid w:val="009C5113"/>
    <w:rsid w:val="009C5D26"/>
    <w:rsid w:val="009C61FF"/>
    <w:rsid w:val="009C6647"/>
    <w:rsid w:val="009C7585"/>
    <w:rsid w:val="009C764D"/>
    <w:rsid w:val="009C7C28"/>
    <w:rsid w:val="009C7F42"/>
    <w:rsid w:val="009D18B2"/>
    <w:rsid w:val="009D28C5"/>
    <w:rsid w:val="009D5450"/>
    <w:rsid w:val="009D6665"/>
    <w:rsid w:val="009D6ECA"/>
    <w:rsid w:val="009D6FD8"/>
    <w:rsid w:val="009D74F7"/>
    <w:rsid w:val="009E1078"/>
    <w:rsid w:val="009E2342"/>
    <w:rsid w:val="009E298A"/>
    <w:rsid w:val="009E3823"/>
    <w:rsid w:val="009E408B"/>
    <w:rsid w:val="009E53BC"/>
    <w:rsid w:val="009E6463"/>
    <w:rsid w:val="009F03F0"/>
    <w:rsid w:val="009F05E1"/>
    <w:rsid w:val="009F0E04"/>
    <w:rsid w:val="009F12AE"/>
    <w:rsid w:val="009F3A63"/>
    <w:rsid w:val="009F42A4"/>
    <w:rsid w:val="009F4546"/>
    <w:rsid w:val="009F4DDE"/>
    <w:rsid w:val="009F5845"/>
    <w:rsid w:val="009F5CFC"/>
    <w:rsid w:val="009F7574"/>
    <w:rsid w:val="00A009DE"/>
    <w:rsid w:val="00A00A1E"/>
    <w:rsid w:val="00A00BB9"/>
    <w:rsid w:val="00A01621"/>
    <w:rsid w:val="00A02A08"/>
    <w:rsid w:val="00A02B80"/>
    <w:rsid w:val="00A02CC2"/>
    <w:rsid w:val="00A05938"/>
    <w:rsid w:val="00A06192"/>
    <w:rsid w:val="00A06307"/>
    <w:rsid w:val="00A068B6"/>
    <w:rsid w:val="00A06AE1"/>
    <w:rsid w:val="00A06D11"/>
    <w:rsid w:val="00A06D49"/>
    <w:rsid w:val="00A07829"/>
    <w:rsid w:val="00A1117C"/>
    <w:rsid w:val="00A12480"/>
    <w:rsid w:val="00A12B63"/>
    <w:rsid w:val="00A12C9A"/>
    <w:rsid w:val="00A12DC8"/>
    <w:rsid w:val="00A13381"/>
    <w:rsid w:val="00A133EF"/>
    <w:rsid w:val="00A13C15"/>
    <w:rsid w:val="00A1436B"/>
    <w:rsid w:val="00A14B81"/>
    <w:rsid w:val="00A14C6C"/>
    <w:rsid w:val="00A156CB"/>
    <w:rsid w:val="00A15735"/>
    <w:rsid w:val="00A15A99"/>
    <w:rsid w:val="00A15D79"/>
    <w:rsid w:val="00A171FA"/>
    <w:rsid w:val="00A17ED9"/>
    <w:rsid w:val="00A2196B"/>
    <w:rsid w:val="00A21DC1"/>
    <w:rsid w:val="00A22036"/>
    <w:rsid w:val="00A2470C"/>
    <w:rsid w:val="00A24978"/>
    <w:rsid w:val="00A25082"/>
    <w:rsid w:val="00A26157"/>
    <w:rsid w:val="00A27C6C"/>
    <w:rsid w:val="00A3100E"/>
    <w:rsid w:val="00A31552"/>
    <w:rsid w:val="00A31829"/>
    <w:rsid w:val="00A3298F"/>
    <w:rsid w:val="00A32B5D"/>
    <w:rsid w:val="00A3356E"/>
    <w:rsid w:val="00A33D87"/>
    <w:rsid w:val="00A33FDA"/>
    <w:rsid w:val="00A3510D"/>
    <w:rsid w:val="00A35165"/>
    <w:rsid w:val="00A359BC"/>
    <w:rsid w:val="00A361F0"/>
    <w:rsid w:val="00A36B17"/>
    <w:rsid w:val="00A40F47"/>
    <w:rsid w:val="00A41B08"/>
    <w:rsid w:val="00A41C13"/>
    <w:rsid w:val="00A4201B"/>
    <w:rsid w:val="00A454B3"/>
    <w:rsid w:val="00A45F24"/>
    <w:rsid w:val="00A4770D"/>
    <w:rsid w:val="00A518F4"/>
    <w:rsid w:val="00A519A8"/>
    <w:rsid w:val="00A52F34"/>
    <w:rsid w:val="00A544B3"/>
    <w:rsid w:val="00A54732"/>
    <w:rsid w:val="00A57616"/>
    <w:rsid w:val="00A60999"/>
    <w:rsid w:val="00A609AA"/>
    <w:rsid w:val="00A61166"/>
    <w:rsid w:val="00A61C55"/>
    <w:rsid w:val="00A63FCD"/>
    <w:rsid w:val="00A66959"/>
    <w:rsid w:val="00A70928"/>
    <w:rsid w:val="00A70CD3"/>
    <w:rsid w:val="00A71507"/>
    <w:rsid w:val="00A71BDE"/>
    <w:rsid w:val="00A728D7"/>
    <w:rsid w:val="00A72D9D"/>
    <w:rsid w:val="00A74C1A"/>
    <w:rsid w:val="00A7754C"/>
    <w:rsid w:val="00A77D31"/>
    <w:rsid w:val="00A80BC8"/>
    <w:rsid w:val="00A8203C"/>
    <w:rsid w:val="00A82FAB"/>
    <w:rsid w:val="00A84900"/>
    <w:rsid w:val="00A84A87"/>
    <w:rsid w:val="00A87EDE"/>
    <w:rsid w:val="00A90573"/>
    <w:rsid w:val="00A90FD8"/>
    <w:rsid w:val="00A9174D"/>
    <w:rsid w:val="00A918FD"/>
    <w:rsid w:val="00A924A0"/>
    <w:rsid w:val="00A933D6"/>
    <w:rsid w:val="00A9345D"/>
    <w:rsid w:val="00A9518E"/>
    <w:rsid w:val="00A954B8"/>
    <w:rsid w:val="00A963DF"/>
    <w:rsid w:val="00A96717"/>
    <w:rsid w:val="00A96CEA"/>
    <w:rsid w:val="00A97336"/>
    <w:rsid w:val="00A9769F"/>
    <w:rsid w:val="00AA07E9"/>
    <w:rsid w:val="00AA2338"/>
    <w:rsid w:val="00AA2345"/>
    <w:rsid w:val="00AA466C"/>
    <w:rsid w:val="00AA58DE"/>
    <w:rsid w:val="00AA6607"/>
    <w:rsid w:val="00AA7D14"/>
    <w:rsid w:val="00AB0179"/>
    <w:rsid w:val="00AB1294"/>
    <w:rsid w:val="00AB1666"/>
    <w:rsid w:val="00AB1A3D"/>
    <w:rsid w:val="00AB2692"/>
    <w:rsid w:val="00AB54CC"/>
    <w:rsid w:val="00AB5645"/>
    <w:rsid w:val="00AB6102"/>
    <w:rsid w:val="00AB7E9E"/>
    <w:rsid w:val="00AB7FC3"/>
    <w:rsid w:val="00AC1262"/>
    <w:rsid w:val="00AC1544"/>
    <w:rsid w:val="00AC2041"/>
    <w:rsid w:val="00AC3061"/>
    <w:rsid w:val="00AC3920"/>
    <w:rsid w:val="00AC46E7"/>
    <w:rsid w:val="00AC6250"/>
    <w:rsid w:val="00AC7D7E"/>
    <w:rsid w:val="00AD04FF"/>
    <w:rsid w:val="00AD07FD"/>
    <w:rsid w:val="00AD178B"/>
    <w:rsid w:val="00AD2AF8"/>
    <w:rsid w:val="00AD2CDC"/>
    <w:rsid w:val="00AD4242"/>
    <w:rsid w:val="00AD45B1"/>
    <w:rsid w:val="00AD4959"/>
    <w:rsid w:val="00AD59F8"/>
    <w:rsid w:val="00AE03D7"/>
    <w:rsid w:val="00AE0513"/>
    <w:rsid w:val="00AE0913"/>
    <w:rsid w:val="00AE0940"/>
    <w:rsid w:val="00AE131B"/>
    <w:rsid w:val="00AE1B67"/>
    <w:rsid w:val="00AE21DB"/>
    <w:rsid w:val="00AE2E8E"/>
    <w:rsid w:val="00AE3724"/>
    <w:rsid w:val="00AE5BF2"/>
    <w:rsid w:val="00AE6379"/>
    <w:rsid w:val="00AE6654"/>
    <w:rsid w:val="00AF026C"/>
    <w:rsid w:val="00AF25F5"/>
    <w:rsid w:val="00AF3409"/>
    <w:rsid w:val="00AF3DAE"/>
    <w:rsid w:val="00AF5F1A"/>
    <w:rsid w:val="00AF6E4F"/>
    <w:rsid w:val="00AF758C"/>
    <w:rsid w:val="00B0002F"/>
    <w:rsid w:val="00B001E6"/>
    <w:rsid w:val="00B024CA"/>
    <w:rsid w:val="00B03033"/>
    <w:rsid w:val="00B036B9"/>
    <w:rsid w:val="00B049EA"/>
    <w:rsid w:val="00B0522D"/>
    <w:rsid w:val="00B06313"/>
    <w:rsid w:val="00B112E9"/>
    <w:rsid w:val="00B1511D"/>
    <w:rsid w:val="00B1592A"/>
    <w:rsid w:val="00B1599B"/>
    <w:rsid w:val="00B159D7"/>
    <w:rsid w:val="00B15D38"/>
    <w:rsid w:val="00B16984"/>
    <w:rsid w:val="00B17907"/>
    <w:rsid w:val="00B21423"/>
    <w:rsid w:val="00B22B82"/>
    <w:rsid w:val="00B23D49"/>
    <w:rsid w:val="00B250DE"/>
    <w:rsid w:val="00B26CF5"/>
    <w:rsid w:val="00B2753F"/>
    <w:rsid w:val="00B277A1"/>
    <w:rsid w:val="00B27BCA"/>
    <w:rsid w:val="00B3063D"/>
    <w:rsid w:val="00B30A71"/>
    <w:rsid w:val="00B31A81"/>
    <w:rsid w:val="00B3239B"/>
    <w:rsid w:val="00B3264A"/>
    <w:rsid w:val="00B33475"/>
    <w:rsid w:val="00B37257"/>
    <w:rsid w:val="00B37854"/>
    <w:rsid w:val="00B37EB5"/>
    <w:rsid w:val="00B40EEB"/>
    <w:rsid w:val="00B41186"/>
    <w:rsid w:val="00B42B4C"/>
    <w:rsid w:val="00B43950"/>
    <w:rsid w:val="00B470C1"/>
    <w:rsid w:val="00B475A1"/>
    <w:rsid w:val="00B47B9A"/>
    <w:rsid w:val="00B50AF0"/>
    <w:rsid w:val="00B51865"/>
    <w:rsid w:val="00B5233F"/>
    <w:rsid w:val="00B5235A"/>
    <w:rsid w:val="00B53931"/>
    <w:rsid w:val="00B542AE"/>
    <w:rsid w:val="00B5471A"/>
    <w:rsid w:val="00B54829"/>
    <w:rsid w:val="00B54DB2"/>
    <w:rsid w:val="00B54DFC"/>
    <w:rsid w:val="00B5557A"/>
    <w:rsid w:val="00B55DD3"/>
    <w:rsid w:val="00B562BF"/>
    <w:rsid w:val="00B56C83"/>
    <w:rsid w:val="00B57150"/>
    <w:rsid w:val="00B573B5"/>
    <w:rsid w:val="00B577E5"/>
    <w:rsid w:val="00B60CB5"/>
    <w:rsid w:val="00B60E70"/>
    <w:rsid w:val="00B65842"/>
    <w:rsid w:val="00B701E4"/>
    <w:rsid w:val="00B70AB6"/>
    <w:rsid w:val="00B722AC"/>
    <w:rsid w:val="00B72484"/>
    <w:rsid w:val="00B762F8"/>
    <w:rsid w:val="00B764D4"/>
    <w:rsid w:val="00B76556"/>
    <w:rsid w:val="00B76E16"/>
    <w:rsid w:val="00B77386"/>
    <w:rsid w:val="00B80542"/>
    <w:rsid w:val="00B83663"/>
    <w:rsid w:val="00B851B3"/>
    <w:rsid w:val="00B900F4"/>
    <w:rsid w:val="00B910F9"/>
    <w:rsid w:val="00B91CD6"/>
    <w:rsid w:val="00B93B7D"/>
    <w:rsid w:val="00B946F9"/>
    <w:rsid w:val="00B947EB"/>
    <w:rsid w:val="00B957AB"/>
    <w:rsid w:val="00B9660D"/>
    <w:rsid w:val="00B972B2"/>
    <w:rsid w:val="00B97351"/>
    <w:rsid w:val="00B977CD"/>
    <w:rsid w:val="00BA0B09"/>
    <w:rsid w:val="00BA0E84"/>
    <w:rsid w:val="00BA0F1B"/>
    <w:rsid w:val="00BA4D7E"/>
    <w:rsid w:val="00BA5E01"/>
    <w:rsid w:val="00BA6604"/>
    <w:rsid w:val="00BA6DE2"/>
    <w:rsid w:val="00BB05FB"/>
    <w:rsid w:val="00BB0DDF"/>
    <w:rsid w:val="00BB27F9"/>
    <w:rsid w:val="00BB6B25"/>
    <w:rsid w:val="00BB72D1"/>
    <w:rsid w:val="00BC0A9E"/>
    <w:rsid w:val="00BC1F44"/>
    <w:rsid w:val="00BC2801"/>
    <w:rsid w:val="00BC3009"/>
    <w:rsid w:val="00BC3ADC"/>
    <w:rsid w:val="00BC4433"/>
    <w:rsid w:val="00BC47A4"/>
    <w:rsid w:val="00BC4EE3"/>
    <w:rsid w:val="00BD2975"/>
    <w:rsid w:val="00BD4353"/>
    <w:rsid w:val="00BD5506"/>
    <w:rsid w:val="00BD5742"/>
    <w:rsid w:val="00BD6753"/>
    <w:rsid w:val="00BD693F"/>
    <w:rsid w:val="00BD76A5"/>
    <w:rsid w:val="00BE03EC"/>
    <w:rsid w:val="00BE0BAB"/>
    <w:rsid w:val="00BE29C4"/>
    <w:rsid w:val="00BE2B20"/>
    <w:rsid w:val="00BE2FE4"/>
    <w:rsid w:val="00BE422C"/>
    <w:rsid w:val="00BE5C17"/>
    <w:rsid w:val="00BE60DE"/>
    <w:rsid w:val="00BE6FDB"/>
    <w:rsid w:val="00BF0B17"/>
    <w:rsid w:val="00BF19D8"/>
    <w:rsid w:val="00BF19F9"/>
    <w:rsid w:val="00BF28B9"/>
    <w:rsid w:val="00BF29EA"/>
    <w:rsid w:val="00BF42ED"/>
    <w:rsid w:val="00BF4C1D"/>
    <w:rsid w:val="00BF5069"/>
    <w:rsid w:val="00BF5CFD"/>
    <w:rsid w:val="00BF66ED"/>
    <w:rsid w:val="00BF699F"/>
    <w:rsid w:val="00BF6A57"/>
    <w:rsid w:val="00C00306"/>
    <w:rsid w:val="00C0257C"/>
    <w:rsid w:val="00C02946"/>
    <w:rsid w:val="00C02B44"/>
    <w:rsid w:val="00C04872"/>
    <w:rsid w:val="00C04EB2"/>
    <w:rsid w:val="00C054A5"/>
    <w:rsid w:val="00C0621C"/>
    <w:rsid w:val="00C0724E"/>
    <w:rsid w:val="00C13216"/>
    <w:rsid w:val="00C138FF"/>
    <w:rsid w:val="00C14C9C"/>
    <w:rsid w:val="00C15A0F"/>
    <w:rsid w:val="00C15D66"/>
    <w:rsid w:val="00C1624C"/>
    <w:rsid w:val="00C1630D"/>
    <w:rsid w:val="00C16C37"/>
    <w:rsid w:val="00C2156F"/>
    <w:rsid w:val="00C225A8"/>
    <w:rsid w:val="00C22942"/>
    <w:rsid w:val="00C22DFF"/>
    <w:rsid w:val="00C2340B"/>
    <w:rsid w:val="00C239CC"/>
    <w:rsid w:val="00C2419D"/>
    <w:rsid w:val="00C24B66"/>
    <w:rsid w:val="00C25023"/>
    <w:rsid w:val="00C25F31"/>
    <w:rsid w:val="00C26809"/>
    <w:rsid w:val="00C26E59"/>
    <w:rsid w:val="00C27F14"/>
    <w:rsid w:val="00C309D5"/>
    <w:rsid w:val="00C30B05"/>
    <w:rsid w:val="00C30B2D"/>
    <w:rsid w:val="00C30B6A"/>
    <w:rsid w:val="00C3278E"/>
    <w:rsid w:val="00C362F4"/>
    <w:rsid w:val="00C401B1"/>
    <w:rsid w:val="00C4365E"/>
    <w:rsid w:val="00C44571"/>
    <w:rsid w:val="00C44643"/>
    <w:rsid w:val="00C46DA0"/>
    <w:rsid w:val="00C4768A"/>
    <w:rsid w:val="00C526C8"/>
    <w:rsid w:val="00C52BC7"/>
    <w:rsid w:val="00C539DD"/>
    <w:rsid w:val="00C54B67"/>
    <w:rsid w:val="00C55818"/>
    <w:rsid w:val="00C55936"/>
    <w:rsid w:val="00C60AAA"/>
    <w:rsid w:val="00C60BB3"/>
    <w:rsid w:val="00C61C67"/>
    <w:rsid w:val="00C61F3A"/>
    <w:rsid w:val="00C64522"/>
    <w:rsid w:val="00C662F8"/>
    <w:rsid w:val="00C664C3"/>
    <w:rsid w:val="00C72498"/>
    <w:rsid w:val="00C74BAB"/>
    <w:rsid w:val="00C7727A"/>
    <w:rsid w:val="00C80324"/>
    <w:rsid w:val="00C824A1"/>
    <w:rsid w:val="00C83F66"/>
    <w:rsid w:val="00C83FF3"/>
    <w:rsid w:val="00C8529E"/>
    <w:rsid w:val="00C86ADA"/>
    <w:rsid w:val="00C86DEC"/>
    <w:rsid w:val="00C87915"/>
    <w:rsid w:val="00C9013E"/>
    <w:rsid w:val="00C901C1"/>
    <w:rsid w:val="00C91601"/>
    <w:rsid w:val="00C91950"/>
    <w:rsid w:val="00C92A91"/>
    <w:rsid w:val="00C94643"/>
    <w:rsid w:val="00C94CC0"/>
    <w:rsid w:val="00C94CCA"/>
    <w:rsid w:val="00C9551D"/>
    <w:rsid w:val="00C966C2"/>
    <w:rsid w:val="00C97098"/>
    <w:rsid w:val="00C972F2"/>
    <w:rsid w:val="00CA22AB"/>
    <w:rsid w:val="00CA26D9"/>
    <w:rsid w:val="00CA2B1D"/>
    <w:rsid w:val="00CA3D9A"/>
    <w:rsid w:val="00CA3EBD"/>
    <w:rsid w:val="00CA423F"/>
    <w:rsid w:val="00CA6E18"/>
    <w:rsid w:val="00CA6EFA"/>
    <w:rsid w:val="00CB0579"/>
    <w:rsid w:val="00CB1102"/>
    <w:rsid w:val="00CB114A"/>
    <w:rsid w:val="00CB23F0"/>
    <w:rsid w:val="00CB2BFA"/>
    <w:rsid w:val="00CB4114"/>
    <w:rsid w:val="00CB47E6"/>
    <w:rsid w:val="00CB4BC4"/>
    <w:rsid w:val="00CB575B"/>
    <w:rsid w:val="00CB75AA"/>
    <w:rsid w:val="00CB7749"/>
    <w:rsid w:val="00CC09A2"/>
    <w:rsid w:val="00CC09FD"/>
    <w:rsid w:val="00CC0E88"/>
    <w:rsid w:val="00CC0F17"/>
    <w:rsid w:val="00CC14CA"/>
    <w:rsid w:val="00CC19F7"/>
    <w:rsid w:val="00CC5B10"/>
    <w:rsid w:val="00CC7D01"/>
    <w:rsid w:val="00CC7D9B"/>
    <w:rsid w:val="00CD09FB"/>
    <w:rsid w:val="00CD0D0F"/>
    <w:rsid w:val="00CD2B68"/>
    <w:rsid w:val="00CD3544"/>
    <w:rsid w:val="00CD46B0"/>
    <w:rsid w:val="00CD4F34"/>
    <w:rsid w:val="00CD5207"/>
    <w:rsid w:val="00CD553F"/>
    <w:rsid w:val="00CD64BA"/>
    <w:rsid w:val="00CD6D78"/>
    <w:rsid w:val="00CD7D13"/>
    <w:rsid w:val="00CE1A62"/>
    <w:rsid w:val="00CE1D87"/>
    <w:rsid w:val="00CE2174"/>
    <w:rsid w:val="00CE64FA"/>
    <w:rsid w:val="00CE6B57"/>
    <w:rsid w:val="00CE7997"/>
    <w:rsid w:val="00CF1015"/>
    <w:rsid w:val="00CF24A8"/>
    <w:rsid w:val="00CF3E47"/>
    <w:rsid w:val="00CF60D4"/>
    <w:rsid w:val="00CF61D9"/>
    <w:rsid w:val="00CF7881"/>
    <w:rsid w:val="00CF79C3"/>
    <w:rsid w:val="00D02216"/>
    <w:rsid w:val="00D022F2"/>
    <w:rsid w:val="00D02BBB"/>
    <w:rsid w:val="00D02CBB"/>
    <w:rsid w:val="00D03ADE"/>
    <w:rsid w:val="00D044FB"/>
    <w:rsid w:val="00D06EC1"/>
    <w:rsid w:val="00D07007"/>
    <w:rsid w:val="00D11AD8"/>
    <w:rsid w:val="00D12E5D"/>
    <w:rsid w:val="00D13580"/>
    <w:rsid w:val="00D13731"/>
    <w:rsid w:val="00D14720"/>
    <w:rsid w:val="00D1477A"/>
    <w:rsid w:val="00D14F0A"/>
    <w:rsid w:val="00D16896"/>
    <w:rsid w:val="00D16B65"/>
    <w:rsid w:val="00D17ADD"/>
    <w:rsid w:val="00D20179"/>
    <w:rsid w:val="00D212D0"/>
    <w:rsid w:val="00D21A0A"/>
    <w:rsid w:val="00D22574"/>
    <w:rsid w:val="00D226BC"/>
    <w:rsid w:val="00D22CF3"/>
    <w:rsid w:val="00D23EF0"/>
    <w:rsid w:val="00D23F5D"/>
    <w:rsid w:val="00D23F89"/>
    <w:rsid w:val="00D24437"/>
    <w:rsid w:val="00D245AD"/>
    <w:rsid w:val="00D26F91"/>
    <w:rsid w:val="00D315C7"/>
    <w:rsid w:val="00D3342F"/>
    <w:rsid w:val="00D33E97"/>
    <w:rsid w:val="00D34882"/>
    <w:rsid w:val="00D35A70"/>
    <w:rsid w:val="00D37F9A"/>
    <w:rsid w:val="00D41375"/>
    <w:rsid w:val="00D4167D"/>
    <w:rsid w:val="00D42986"/>
    <w:rsid w:val="00D44069"/>
    <w:rsid w:val="00D45D6B"/>
    <w:rsid w:val="00D4680B"/>
    <w:rsid w:val="00D46A79"/>
    <w:rsid w:val="00D47228"/>
    <w:rsid w:val="00D47757"/>
    <w:rsid w:val="00D47C51"/>
    <w:rsid w:val="00D50A36"/>
    <w:rsid w:val="00D514B5"/>
    <w:rsid w:val="00D51CD2"/>
    <w:rsid w:val="00D544BC"/>
    <w:rsid w:val="00D54A93"/>
    <w:rsid w:val="00D55524"/>
    <w:rsid w:val="00D55875"/>
    <w:rsid w:val="00D559B0"/>
    <w:rsid w:val="00D55A2B"/>
    <w:rsid w:val="00D55A68"/>
    <w:rsid w:val="00D56082"/>
    <w:rsid w:val="00D579D5"/>
    <w:rsid w:val="00D57C78"/>
    <w:rsid w:val="00D60312"/>
    <w:rsid w:val="00D61018"/>
    <w:rsid w:val="00D611C2"/>
    <w:rsid w:val="00D61D66"/>
    <w:rsid w:val="00D62166"/>
    <w:rsid w:val="00D63CBA"/>
    <w:rsid w:val="00D65BC4"/>
    <w:rsid w:val="00D65F85"/>
    <w:rsid w:val="00D6612B"/>
    <w:rsid w:val="00D678E6"/>
    <w:rsid w:val="00D72423"/>
    <w:rsid w:val="00D72A09"/>
    <w:rsid w:val="00D736DF"/>
    <w:rsid w:val="00D738BF"/>
    <w:rsid w:val="00D77022"/>
    <w:rsid w:val="00D81E6F"/>
    <w:rsid w:val="00D8287D"/>
    <w:rsid w:val="00D83DF7"/>
    <w:rsid w:val="00D86CAE"/>
    <w:rsid w:val="00D86FA2"/>
    <w:rsid w:val="00D87CDB"/>
    <w:rsid w:val="00D90E7F"/>
    <w:rsid w:val="00D91CBE"/>
    <w:rsid w:val="00D91FEA"/>
    <w:rsid w:val="00D9205E"/>
    <w:rsid w:val="00D92B0C"/>
    <w:rsid w:val="00D931BF"/>
    <w:rsid w:val="00D93AB3"/>
    <w:rsid w:val="00D94739"/>
    <w:rsid w:val="00D95914"/>
    <w:rsid w:val="00D969E8"/>
    <w:rsid w:val="00D972A5"/>
    <w:rsid w:val="00D9795D"/>
    <w:rsid w:val="00D97DA2"/>
    <w:rsid w:val="00DA1436"/>
    <w:rsid w:val="00DA1AAB"/>
    <w:rsid w:val="00DA2072"/>
    <w:rsid w:val="00DA3940"/>
    <w:rsid w:val="00DA485E"/>
    <w:rsid w:val="00DA5197"/>
    <w:rsid w:val="00DA551A"/>
    <w:rsid w:val="00DA5AD8"/>
    <w:rsid w:val="00DA62AC"/>
    <w:rsid w:val="00DA74FF"/>
    <w:rsid w:val="00DB1805"/>
    <w:rsid w:val="00DB205D"/>
    <w:rsid w:val="00DB45D3"/>
    <w:rsid w:val="00DB5354"/>
    <w:rsid w:val="00DB55B1"/>
    <w:rsid w:val="00DB6C3A"/>
    <w:rsid w:val="00DB74F5"/>
    <w:rsid w:val="00DC0F6B"/>
    <w:rsid w:val="00DC33C3"/>
    <w:rsid w:val="00DC35CF"/>
    <w:rsid w:val="00DC3A74"/>
    <w:rsid w:val="00DC5FB7"/>
    <w:rsid w:val="00DC6A57"/>
    <w:rsid w:val="00DD0DA1"/>
    <w:rsid w:val="00DD3187"/>
    <w:rsid w:val="00DD4177"/>
    <w:rsid w:val="00DD46BF"/>
    <w:rsid w:val="00DD5D18"/>
    <w:rsid w:val="00DE0366"/>
    <w:rsid w:val="00DE0B53"/>
    <w:rsid w:val="00DE0D6F"/>
    <w:rsid w:val="00DE1BF7"/>
    <w:rsid w:val="00DE24FE"/>
    <w:rsid w:val="00DE350D"/>
    <w:rsid w:val="00DE3ABD"/>
    <w:rsid w:val="00DE615E"/>
    <w:rsid w:val="00DE6685"/>
    <w:rsid w:val="00DE6BEC"/>
    <w:rsid w:val="00DE7421"/>
    <w:rsid w:val="00DE761D"/>
    <w:rsid w:val="00DF181C"/>
    <w:rsid w:val="00DF1E76"/>
    <w:rsid w:val="00DF2505"/>
    <w:rsid w:val="00DF2C53"/>
    <w:rsid w:val="00DF34A1"/>
    <w:rsid w:val="00DF5158"/>
    <w:rsid w:val="00DF5834"/>
    <w:rsid w:val="00DF5CA6"/>
    <w:rsid w:val="00DF6C17"/>
    <w:rsid w:val="00DF7103"/>
    <w:rsid w:val="00DF713C"/>
    <w:rsid w:val="00E007F7"/>
    <w:rsid w:val="00E00A83"/>
    <w:rsid w:val="00E01B47"/>
    <w:rsid w:val="00E02257"/>
    <w:rsid w:val="00E02EA2"/>
    <w:rsid w:val="00E02F9F"/>
    <w:rsid w:val="00E036E3"/>
    <w:rsid w:val="00E043C3"/>
    <w:rsid w:val="00E06F04"/>
    <w:rsid w:val="00E075FD"/>
    <w:rsid w:val="00E1078D"/>
    <w:rsid w:val="00E10B66"/>
    <w:rsid w:val="00E1207D"/>
    <w:rsid w:val="00E1353D"/>
    <w:rsid w:val="00E13D32"/>
    <w:rsid w:val="00E14015"/>
    <w:rsid w:val="00E1440B"/>
    <w:rsid w:val="00E1448B"/>
    <w:rsid w:val="00E14A4D"/>
    <w:rsid w:val="00E14EEE"/>
    <w:rsid w:val="00E171C5"/>
    <w:rsid w:val="00E2061F"/>
    <w:rsid w:val="00E219FA"/>
    <w:rsid w:val="00E23333"/>
    <w:rsid w:val="00E25B58"/>
    <w:rsid w:val="00E26C47"/>
    <w:rsid w:val="00E33D37"/>
    <w:rsid w:val="00E344E7"/>
    <w:rsid w:val="00E35B37"/>
    <w:rsid w:val="00E3790A"/>
    <w:rsid w:val="00E41919"/>
    <w:rsid w:val="00E42ED6"/>
    <w:rsid w:val="00E43394"/>
    <w:rsid w:val="00E43776"/>
    <w:rsid w:val="00E4394C"/>
    <w:rsid w:val="00E4489F"/>
    <w:rsid w:val="00E448BE"/>
    <w:rsid w:val="00E44DAC"/>
    <w:rsid w:val="00E467C0"/>
    <w:rsid w:val="00E46E32"/>
    <w:rsid w:val="00E47383"/>
    <w:rsid w:val="00E47CC5"/>
    <w:rsid w:val="00E52043"/>
    <w:rsid w:val="00E52296"/>
    <w:rsid w:val="00E52648"/>
    <w:rsid w:val="00E52A29"/>
    <w:rsid w:val="00E52A4C"/>
    <w:rsid w:val="00E52CF2"/>
    <w:rsid w:val="00E53660"/>
    <w:rsid w:val="00E537C2"/>
    <w:rsid w:val="00E53B92"/>
    <w:rsid w:val="00E53EA0"/>
    <w:rsid w:val="00E54B07"/>
    <w:rsid w:val="00E55B5F"/>
    <w:rsid w:val="00E564BF"/>
    <w:rsid w:val="00E6003F"/>
    <w:rsid w:val="00E61FB4"/>
    <w:rsid w:val="00E62C64"/>
    <w:rsid w:val="00E62D0E"/>
    <w:rsid w:val="00E64C45"/>
    <w:rsid w:val="00E651C6"/>
    <w:rsid w:val="00E65540"/>
    <w:rsid w:val="00E666E4"/>
    <w:rsid w:val="00E676BE"/>
    <w:rsid w:val="00E71D59"/>
    <w:rsid w:val="00E73654"/>
    <w:rsid w:val="00E73953"/>
    <w:rsid w:val="00E74237"/>
    <w:rsid w:val="00E7455E"/>
    <w:rsid w:val="00E75C09"/>
    <w:rsid w:val="00E77040"/>
    <w:rsid w:val="00E77BF3"/>
    <w:rsid w:val="00E80F42"/>
    <w:rsid w:val="00E823FF"/>
    <w:rsid w:val="00E82B54"/>
    <w:rsid w:val="00E83157"/>
    <w:rsid w:val="00E847E0"/>
    <w:rsid w:val="00E8504D"/>
    <w:rsid w:val="00E85DC6"/>
    <w:rsid w:val="00E87653"/>
    <w:rsid w:val="00E91FD0"/>
    <w:rsid w:val="00E9246A"/>
    <w:rsid w:val="00E93465"/>
    <w:rsid w:val="00E93806"/>
    <w:rsid w:val="00E93FC7"/>
    <w:rsid w:val="00E955F6"/>
    <w:rsid w:val="00E95A66"/>
    <w:rsid w:val="00E967BD"/>
    <w:rsid w:val="00E96843"/>
    <w:rsid w:val="00EA1D1B"/>
    <w:rsid w:val="00EA361A"/>
    <w:rsid w:val="00EA3C46"/>
    <w:rsid w:val="00EA69EF"/>
    <w:rsid w:val="00EB04D8"/>
    <w:rsid w:val="00EB1C90"/>
    <w:rsid w:val="00EB2364"/>
    <w:rsid w:val="00EB26DA"/>
    <w:rsid w:val="00EB2B4F"/>
    <w:rsid w:val="00EB2C46"/>
    <w:rsid w:val="00EB4D59"/>
    <w:rsid w:val="00EB6908"/>
    <w:rsid w:val="00EB7993"/>
    <w:rsid w:val="00EC0D9B"/>
    <w:rsid w:val="00EC3BBF"/>
    <w:rsid w:val="00EC3C07"/>
    <w:rsid w:val="00EC4237"/>
    <w:rsid w:val="00EC43BD"/>
    <w:rsid w:val="00EC4EE5"/>
    <w:rsid w:val="00EC6E89"/>
    <w:rsid w:val="00ED2C12"/>
    <w:rsid w:val="00ED41A2"/>
    <w:rsid w:val="00ED42F5"/>
    <w:rsid w:val="00ED460F"/>
    <w:rsid w:val="00ED5575"/>
    <w:rsid w:val="00ED6C68"/>
    <w:rsid w:val="00ED7F74"/>
    <w:rsid w:val="00EE02B4"/>
    <w:rsid w:val="00EE1CA0"/>
    <w:rsid w:val="00EE1E47"/>
    <w:rsid w:val="00EE223C"/>
    <w:rsid w:val="00EE29B6"/>
    <w:rsid w:val="00EE338A"/>
    <w:rsid w:val="00EE5674"/>
    <w:rsid w:val="00EE5838"/>
    <w:rsid w:val="00EE7201"/>
    <w:rsid w:val="00EE7816"/>
    <w:rsid w:val="00EE78AE"/>
    <w:rsid w:val="00EE78B3"/>
    <w:rsid w:val="00EF1E94"/>
    <w:rsid w:val="00EF257C"/>
    <w:rsid w:val="00EF441E"/>
    <w:rsid w:val="00EF4F48"/>
    <w:rsid w:val="00EF588E"/>
    <w:rsid w:val="00EF5E27"/>
    <w:rsid w:val="00F015BE"/>
    <w:rsid w:val="00F03667"/>
    <w:rsid w:val="00F04A0B"/>
    <w:rsid w:val="00F0549B"/>
    <w:rsid w:val="00F0592C"/>
    <w:rsid w:val="00F104DB"/>
    <w:rsid w:val="00F1090E"/>
    <w:rsid w:val="00F11997"/>
    <w:rsid w:val="00F1469E"/>
    <w:rsid w:val="00F176FE"/>
    <w:rsid w:val="00F20ADA"/>
    <w:rsid w:val="00F20BC9"/>
    <w:rsid w:val="00F232A4"/>
    <w:rsid w:val="00F234E1"/>
    <w:rsid w:val="00F23544"/>
    <w:rsid w:val="00F2361F"/>
    <w:rsid w:val="00F24030"/>
    <w:rsid w:val="00F25508"/>
    <w:rsid w:val="00F26756"/>
    <w:rsid w:val="00F303E4"/>
    <w:rsid w:val="00F325F3"/>
    <w:rsid w:val="00F3431A"/>
    <w:rsid w:val="00F34FA1"/>
    <w:rsid w:val="00F36C32"/>
    <w:rsid w:val="00F422BA"/>
    <w:rsid w:val="00F426C7"/>
    <w:rsid w:val="00F46897"/>
    <w:rsid w:val="00F47CA2"/>
    <w:rsid w:val="00F50D7D"/>
    <w:rsid w:val="00F539C5"/>
    <w:rsid w:val="00F55144"/>
    <w:rsid w:val="00F55AAE"/>
    <w:rsid w:val="00F55E3D"/>
    <w:rsid w:val="00F56EC5"/>
    <w:rsid w:val="00F57C8C"/>
    <w:rsid w:val="00F6161E"/>
    <w:rsid w:val="00F61963"/>
    <w:rsid w:val="00F644FE"/>
    <w:rsid w:val="00F64B2C"/>
    <w:rsid w:val="00F65510"/>
    <w:rsid w:val="00F66733"/>
    <w:rsid w:val="00F669F9"/>
    <w:rsid w:val="00F70D44"/>
    <w:rsid w:val="00F70D79"/>
    <w:rsid w:val="00F71E49"/>
    <w:rsid w:val="00F73FAC"/>
    <w:rsid w:val="00F7489E"/>
    <w:rsid w:val="00F7564C"/>
    <w:rsid w:val="00F763F5"/>
    <w:rsid w:val="00F76563"/>
    <w:rsid w:val="00F76A3A"/>
    <w:rsid w:val="00F81CC8"/>
    <w:rsid w:val="00F82119"/>
    <w:rsid w:val="00F822E7"/>
    <w:rsid w:val="00F8299B"/>
    <w:rsid w:val="00F84758"/>
    <w:rsid w:val="00F866AC"/>
    <w:rsid w:val="00F87D40"/>
    <w:rsid w:val="00F90A9C"/>
    <w:rsid w:val="00F91DB2"/>
    <w:rsid w:val="00F94FC9"/>
    <w:rsid w:val="00F9526F"/>
    <w:rsid w:val="00F96E0D"/>
    <w:rsid w:val="00F970A2"/>
    <w:rsid w:val="00F97E76"/>
    <w:rsid w:val="00FA0602"/>
    <w:rsid w:val="00FA22B6"/>
    <w:rsid w:val="00FA2661"/>
    <w:rsid w:val="00FA3DD7"/>
    <w:rsid w:val="00FA3EBC"/>
    <w:rsid w:val="00FA4559"/>
    <w:rsid w:val="00FA4906"/>
    <w:rsid w:val="00FA58CD"/>
    <w:rsid w:val="00FA6981"/>
    <w:rsid w:val="00FA6BBA"/>
    <w:rsid w:val="00FA6E40"/>
    <w:rsid w:val="00FA6E51"/>
    <w:rsid w:val="00FA6FBA"/>
    <w:rsid w:val="00FA756C"/>
    <w:rsid w:val="00FA7C92"/>
    <w:rsid w:val="00FB02A4"/>
    <w:rsid w:val="00FB1094"/>
    <w:rsid w:val="00FB3462"/>
    <w:rsid w:val="00FB3C60"/>
    <w:rsid w:val="00FB3E38"/>
    <w:rsid w:val="00FB4745"/>
    <w:rsid w:val="00FB4B19"/>
    <w:rsid w:val="00FC0D1D"/>
    <w:rsid w:val="00FC0FFA"/>
    <w:rsid w:val="00FC24C7"/>
    <w:rsid w:val="00FC2C75"/>
    <w:rsid w:val="00FC3075"/>
    <w:rsid w:val="00FC5460"/>
    <w:rsid w:val="00FC5B8D"/>
    <w:rsid w:val="00FC73DC"/>
    <w:rsid w:val="00FD1391"/>
    <w:rsid w:val="00FD1875"/>
    <w:rsid w:val="00FD2024"/>
    <w:rsid w:val="00FD23A6"/>
    <w:rsid w:val="00FD3642"/>
    <w:rsid w:val="00FD462C"/>
    <w:rsid w:val="00FE02F4"/>
    <w:rsid w:val="00FE0A07"/>
    <w:rsid w:val="00FE0BA4"/>
    <w:rsid w:val="00FE1F51"/>
    <w:rsid w:val="00FE2CC7"/>
    <w:rsid w:val="00FE5266"/>
    <w:rsid w:val="00FE5F0F"/>
    <w:rsid w:val="00FE7757"/>
    <w:rsid w:val="00FE7C09"/>
    <w:rsid w:val="00FF04C4"/>
    <w:rsid w:val="00FF0844"/>
    <w:rsid w:val="00FF0E4E"/>
    <w:rsid w:val="00FF1085"/>
    <w:rsid w:val="00FF46F9"/>
    <w:rsid w:val="00FF4A80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65924D-ED10-4879-83A5-08FB9DD4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FC"/>
    <w:rPr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E1E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1E47"/>
  </w:style>
  <w:style w:type="paragraph" w:styleId="Header">
    <w:name w:val="header"/>
    <w:basedOn w:val="Normal"/>
    <w:link w:val="HeaderChar"/>
    <w:rsid w:val="00A57616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A57616"/>
    <w:rPr>
      <w:lang w:val="es-DO"/>
    </w:rPr>
  </w:style>
  <w:style w:type="paragraph" w:styleId="ListParagraph">
    <w:name w:val="List Paragraph"/>
    <w:basedOn w:val="Normal"/>
    <w:uiPriority w:val="34"/>
    <w:qFormat/>
    <w:rsid w:val="005025E2"/>
    <w:pPr>
      <w:ind w:left="708"/>
    </w:pPr>
  </w:style>
  <w:style w:type="paragraph" w:styleId="BalloonText">
    <w:name w:val="Balloon Text"/>
    <w:basedOn w:val="Normal"/>
    <w:link w:val="BalloonTextChar"/>
    <w:rsid w:val="00E676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76BE"/>
    <w:rPr>
      <w:rFonts w:ascii="Tahoma" w:hAnsi="Tahoma" w:cs="Tahoma"/>
      <w:sz w:val="16"/>
      <w:szCs w:val="16"/>
      <w:lang w:eastAsia="es-ES"/>
    </w:rPr>
  </w:style>
  <w:style w:type="paragraph" w:styleId="NoSpacing">
    <w:name w:val="No Spacing"/>
    <w:uiPriority w:val="1"/>
    <w:qFormat/>
    <w:rsid w:val="00617910"/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BE6FDB"/>
    <w:pPr>
      <w:jc w:val="center"/>
    </w:pPr>
    <w:rPr>
      <w:sz w:val="32"/>
      <w:lang w:val="es-MX"/>
    </w:rPr>
  </w:style>
  <w:style w:type="character" w:customStyle="1" w:styleId="TitleChar">
    <w:name w:val="Title Char"/>
    <w:basedOn w:val="DefaultParagraphFont"/>
    <w:link w:val="Title"/>
    <w:rsid w:val="00BE6FDB"/>
    <w:rPr>
      <w:sz w:val="32"/>
      <w:lang w:val="es-MX"/>
    </w:rPr>
  </w:style>
  <w:style w:type="paragraph" w:styleId="Subtitle">
    <w:name w:val="Subtitle"/>
    <w:basedOn w:val="Normal"/>
    <w:link w:val="SubtitleChar"/>
    <w:qFormat/>
    <w:rsid w:val="00BE6FDB"/>
    <w:pPr>
      <w:jc w:val="center"/>
    </w:pPr>
    <w:rPr>
      <w:sz w:val="32"/>
      <w:lang w:val="es-MX"/>
    </w:rPr>
  </w:style>
  <w:style w:type="character" w:customStyle="1" w:styleId="SubtitleChar">
    <w:name w:val="Subtitle Char"/>
    <w:basedOn w:val="DefaultParagraphFont"/>
    <w:link w:val="Subtitle"/>
    <w:rsid w:val="00BE6FDB"/>
    <w:rPr>
      <w:sz w:val="32"/>
      <w:lang w:val="es-MX"/>
    </w:rPr>
  </w:style>
  <w:style w:type="paragraph" w:styleId="DocumentMap">
    <w:name w:val="Document Map"/>
    <w:basedOn w:val="Normal"/>
    <w:link w:val="DocumentMapChar"/>
    <w:rsid w:val="005C4F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C4FD0"/>
    <w:rPr>
      <w:rFonts w:ascii="Tahoma" w:hAnsi="Tahoma" w:cs="Tahoma"/>
      <w:sz w:val="16"/>
      <w:szCs w:val="16"/>
      <w:lang w:val="es-DO"/>
    </w:rPr>
  </w:style>
  <w:style w:type="paragraph" w:styleId="NormalWeb">
    <w:name w:val="Normal (Web)"/>
    <w:basedOn w:val="Normal"/>
    <w:uiPriority w:val="99"/>
    <w:unhideWhenUsed/>
    <w:rsid w:val="00A22036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3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2419-0A02-44D0-9FA2-66B9CF44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5372</Words>
  <Characters>29547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LAS ACTIVIDADES MÁS RELEVANTES DE LA INSTITUCION DURANTE EL PERIODO ENERO-JUNIO, 2008</vt:lpstr>
    </vt:vector>
  </TitlesOfParts>
  <Company>super</Company>
  <LinksUpToDate>false</LinksUpToDate>
  <CharactersWithSpaces>34850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LAS ACTIVIDADES MÁS RELEVANTES DE LA INSTITUCION DURANTE EL PERIODO ENERO-JUNIO, 2008</dc:title>
  <dc:creator>lthomas</dc:creator>
  <cp:lastModifiedBy>Mdilone</cp:lastModifiedBy>
  <cp:revision>6</cp:revision>
  <cp:lastPrinted>2016-12-06T17:49:00Z</cp:lastPrinted>
  <dcterms:created xsi:type="dcterms:W3CDTF">2018-11-21T18:51:00Z</dcterms:created>
  <dcterms:modified xsi:type="dcterms:W3CDTF">2018-11-22T15:42:00Z</dcterms:modified>
</cp:coreProperties>
</file>