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C6" w:rsidRDefault="001B1148" w:rsidP="009C3B69">
      <w:r>
        <w:t xml:space="preserve">   </w:t>
      </w:r>
    </w:p>
    <w:p w:rsidR="006514C6" w:rsidRDefault="006514C6" w:rsidP="009C3B69"/>
    <w:p w:rsidR="007035B4" w:rsidRPr="009C3B69" w:rsidRDefault="007035B4" w:rsidP="009C3B69"/>
    <w:p w:rsidR="00BE6FDB" w:rsidRPr="00232B9B" w:rsidRDefault="00BE6FDB" w:rsidP="005C4FD0">
      <w:pPr>
        <w:pStyle w:val="Ttulo"/>
        <w:outlineLvl w:val="0"/>
        <w:rPr>
          <w:rFonts w:ascii="Bookman Old Style" w:hAnsi="Bookman Old Style"/>
          <w:b/>
          <w:bCs/>
          <w:color w:val="003366"/>
          <w:szCs w:val="32"/>
        </w:rPr>
      </w:pPr>
      <w:r w:rsidRPr="00232B9B">
        <w:rPr>
          <w:rFonts w:ascii="Bookman Old Style" w:hAnsi="Bookman Old Style"/>
          <w:color w:val="003366"/>
          <w:szCs w:val="32"/>
        </w:rPr>
        <w:t>REP</w:t>
      </w:r>
      <w:r w:rsidR="00232B9B" w:rsidRPr="00232B9B">
        <w:rPr>
          <w:rFonts w:ascii="Bookman Old Style" w:hAnsi="Bookman Old Style"/>
          <w:color w:val="003366"/>
          <w:szCs w:val="32"/>
        </w:rPr>
        <w:t>Ú</w:t>
      </w:r>
      <w:r w:rsidRPr="00232B9B">
        <w:rPr>
          <w:rFonts w:ascii="Bookman Old Style" w:hAnsi="Bookman Old Style"/>
          <w:color w:val="003366"/>
          <w:szCs w:val="32"/>
        </w:rPr>
        <w:t>BLICA DOMINICANA</w:t>
      </w:r>
    </w:p>
    <w:p w:rsidR="00BE6FDB" w:rsidRPr="00232B9B" w:rsidRDefault="00BE6FDB" w:rsidP="005C4FD0">
      <w:pPr>
        <w:pStyle w:val="Ttulo"/>
        <w:outlineLvl w:val="0"/>
        <w:rPr>
          <w:rFonts w:ascii="Bookman Old Style" w:hAnsi="Bookman Old Style"/>
          <w:bCs/>
          <w:color w:val="003366"/>
          <w:sz w:val="24"/>
          <w:szCs w:val="24"/>
        </w:rPr>
      </w:pPr>
      <w:r w:rsidRPr="00232B9B">
        <w:rPr>
          <w:bCs/>
          <w:color w:val="003366"/>
          <w:sz w:val="24"/>
          <w:szCs w:val="24"/>
        </w:rPr>
        <w:t>MINISTERIO DE HACIENDA</w:t>
      </w:r>
    </w:p>
    <w:p w:rsidR="00BE6FDB" w:rsidRPr="00232B9B" w:rsidRDefault="00BE6FDB" w:rsidP="005C4FD0">
      <w:pPr>
        <w:pStyle w:val="Subttulo"/>
        <w:outlineLvl w:val="0"/>
        <w:rPr>
          <w:b/>
          <w:color w:val="003366"/>
          <w:sz w:val="28"/>
          <w:szCs w:val="28"/>
        </w:rPr>
      </w:pPr>
      <w:r w:rsidRPr="00232B9B">
        <w:rPr>
          <w:b/>
          <w:color w:val="003366"/>
          <w:sz w:val="28"/>
          <w:szCs w:val="28"/>
        </w:rPr>
        <w:t>SUPERINTENDENCIA DE SEGUROS</w:t>
      </w:r>
    </w:p>
    <w:p w:rsidR="00BE6FDB" w:rsidRPr="00232B9B" w:rsidRDefault="00BE6FDB" w:rsidP="00BE6FDB">
      <w:pPr>
        <w:rPr>
          <w:color w:val="003366"/>
        </w:rPr>
      </w:pPr>
    </w:p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Pr="002E0D98" w:rsidRDefault="00BE6FDB" w:rsidP="00BE6FDB"/>
    <w:p w:rsidR="00BE6FDB" w:rsidRDefault="009A5CAB" w:rsidP="00BE6FDB"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-1739900</wp:posOffset>
            </wp:positionV>
            <wp:extent cx="3566160" cy="3658870"/>
            <wp:effectExtent l="19050" t="0" r="0" b="0"/>
            <wp:wrapNone/>
            <wp:docPr id="10" name="Imagen 10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DB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Pr="002E0D98" w:rsidRDefault="00BE6FDB" w:rsidP="00BE6FDB"/>
    <w:p w:rsidR="00BE6FDB" w:rsidRDefault="00BE6FDB" w:rsidP="00BE6FDB"/>
    <w:p w:rsidR="00BE6FDB" w:rsidRDefault="00BE6FDB" w:rsidP="00BE6FDB"/>
    <w:p w:rsidR="00BE6FDB" w:rsidRDefault="00BE6FDB" w:rsidP="00BE6FDB"/>
    <w:p w:rsidR="00CD553F" w:rsidRDefault="00CD553F" w:rsidP="00BE6FDB">
      <w:pPr>
        <w:spacing w:line="480" w:lineRule="auto"/>
        <w:ind w:firstLine="709"/>
        <w:jc w:val="both"/>
      </w:pPr>
    </w:p>
    <w:p w:rsidR="00CD553F" w:rsidRDefault="00CD553F" w:rsidP="00BE6FDB">
      <w:pPr>
        <w:spacing w:line="480" w:lineRule="auto"/>
        <w:ind w:firstLine="709"/>
        <w:jc w:val="both"/>
      </w:pPr>
    </w:p>
    <w:p w:rsidR="00CD553F" w:rsidRPr="00EE5ABA" w:rsidRDefault="00CD553F" w:rsidP="00BE6FDB">
      <w:pPr>
        <w:spacing w:line="480" w:lineRule="auto"/>
        <w:ind w:firstLine="709"/>
        <w:jc w:val="both"/>
      </w:pPr>
    </w:p>
    <w:p w:rsidR="00BE6FDB" w:rsidRPr="00232B9B" w:rsidRDefault="00DE24FE" w:rsidP="005C4FD0">
      <w:pPr>
        <w:pStyle w:val="Ttulo"/>
        <w:outlineLvl w:val="0"/>
        <w:rPr>
          <w:bCs/>
          <w:color w:val="003366"/>
          <w:sz w:val="36"/>
          <w:szCs w:val="36"/>
        </w:rPr>
      </w:pPr>
      <w:r>
        <w:rPr>
          <w:bCs/>
          <w:color w:val="003366"/>
          <w:sz w:val="36"/>
          <w:szCs w:val="36"/>
        </w:rPr>
        <w:t>MEMORIA ANUAL</w:t>
      </w:r>
    </w:p>
    <w:p w:rsidR="00BE6FDB" w:rsidRPr="00232B9B" w:rsidRDefault="002249AC" w:rsidP="00BE6FDB">
      <w:pPr>
        <w:pStyle w:val="Ttulo"/>
        <w:rPr>
          <w:color w:val="003366"/>
          <w:sz w:val="36"/>
          <w:szCs w:val="36"/>
        </w:rPr>
      </w:pPr>
      <w:r>
        <w:rPr>
          <w:bCs/>
          <w:color w:val="003366"/>
          <w:sz w:val="36"/>
          <w:szCs w:val="36"/>
        </w:rPr>
        <w:t>2017</w:t>
      </w: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Default="00BE6FDB" w:rsidP="00BE6FDB">
      <w:pPr>
        <w:tabs>
          <w:tab w:val="left" w:pos="3037"/>
        </w:tabs>
        <w:jc w:val="center"/>
        <w:rPr>
          <w:b/>
        </w:rPr>
      </w:pPr>
    </w:p>
    <w:p w:rsidR="00BE6FDB" w:rsidRPr="00210784" w:rsidRDefault="00BE6FDB" w:rsidP="005C4FD0">
      <w:pPr>
        <w:tabs>
          <w:tab w:val="left" w:pos="3037"/>
        </w:tabs>
        <w:jc w:val="center"/>
        <w:outlineLvl w:val="0"/>
        <w:rPr>
          <w:b/>
        </w:rPr>
      </w:pPr>
      <w:r w:rsidRPr="00210784">
        <w:rPr>
          <w:b/>
        </w:rPr>
        <w:t>Santo Domingo, D.N.</w:t>
      </w:r>
    </w:p>
    <w:p w:rsidR="00BE6FDB" w:rsidRPr="00210784" w:rsidRDefault="00BE6FDB" w:rsidP="00BE6FDB">
      <w:pPr>
        <w:tabs>
          <w:tab w:val="left" w:pos="3037"/>
        </w:tabs>
        <w:jc w:val="center"/>
        <w:rPr>
          <w:b/>
        </w:rPr>
      </w:pPr>
      <w:r>
        <w:rPr>
          <w:b/>
        </w:rPr>
        <w:t>201</w:t>
      </w:r>
      <w:r w:rsidR="002249AC">
        <w:rPr>
          <w:b/>
        </w:rPr>
        <w:t>7</w:t>
      </w:r>
    </w:p>
    <w:p w:rsidR="006F1EBB" w:rsidRPr="006A7067" w:rsidRDefault="006F1EBB" w:rsidP="006A7067">
      <w:pPr>
        <w:rPr>
          <w:rFonts w:cstheme="minorHAnsi"/>
          <w:b/>
          <w:color w:val="FFFFFF" w:themeColor="background1"/>
          <w:sz w:val="48"/>
          <w:szCs w:val="48"/>
        </w:rPr>
      </w:pPr>
    </w:p>
    <w:p w:rsidR="006F1EBB" w:rsidRDefault="006F1EBB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4"/>
          <w:szCs w:val="24"/>
        </w:rPr>
      </w:pPr>
    </w:p>
    <w:p w:rsidR="009C4AAA" w:rsidRDefault="009C4AAA" w:rsidP="00BE6FDB">
      <w:pPr>
        <w:spacing w:before="100" w:beforeAutospacing="1" w:after="100" w:afterAutospacing="1" w:line="360" w:lineRule="auto"/>
        <w:jc w:val="center"/>
        <w:rPr>
          <w:b/>
          <w:bCs/>
          <w:color w:val="000000"/>
          <w:sz w:val="24"/>
          <w:szCs w:val="24"/>
        </w:rPr>
      </w:pPr>
    </w:p>
    <w:p w:rsidR="009C4AAA" w:rsidRDefault="009C4AAA" w:rsidP="0072722B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</w:p>
    <w:p w:rsidR="009C4AAA" w:rsidRDefault="009C4AAA" w:rsidP="0072722B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</w:p>
    <w:p w:rsidR="00BE6FDB" w:rsidRPr="006A7067" w:rsidRDefault="00BE6FDB" w:rsidP="0072722B">
      <w:pPr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b/>
          <w:color w:val="000000"/>
          <w:sz w:val="28"/>
          <w:szCs w:val="28"/>
          <w:lang w:val="es-ES"/>
        </w:rPr>
      </w:pPr>
      <w:r w:rsidRPr="00011975">
        <w:rPr>
          <w:b/>
          <w:bCs/>
          <w:color w:val="000000"/>
          <w:sz w:val="28"/>
          <w:szCs w:val="28"/>
        </w:rPr>
        <w:t>Misión</w:t>
      </w:r>
      <w:r>
        <w:rPr>
          <w:b/>
          <w:bCs/>
          <w:color w:val="000000"/>
          <w:sz w:val="28"/>
          <w:szCs w:val="28"/>
        </w:rPr>
        <w:t>:</w:t>
      </w:r>
    </w:p>
    <w:p w:rsidR="006A7067" w:rsidRPr="006A7067" w:rsidRDefault="006A7067" w:rsidP="0072722B">
      <w:pPr>
        <w:spacing w:before="100" w:beforeAutospacing="1" w:after="100" w:afterAutospacing="1" w:line="360" w:lineRule="auto"/>
        <w:ind w:left="720"/>
        <w:jc w:val="both"/>
        <w:rPr>
          <w:color w:val="000000"/>
          <w:sz w:val="24"/>
          <w:szCs w:val="24"/>
          <w:lang w:val="es-ES"/>
        </w:rPr>
      </w:pPr>
      <w:r w:rsidRPr="006A7067">
        <w:rPr>
          <w:bCs/>
          <w:color w:val="000000"/>
          <w:sz w:val="24"/>
          <w:szCs w:val="24"/>
        </w:rPr>
        <w:t>Contribuir al desarrollo del sector asegurador mediante la aplicación efectiva y transparente</w:t>
      </w:r>
      <w:r>
        <w:rPr>
          <w:bCs/>
          <w:color w:val="000000"/>
          <w:sz w:val="24"/>
          <w:szCs w:val="24"/>
        </w:rPr>
        <w:t xml:space="preserve"> del marco legal.</w:t>
      </w:r>
    </w:p>
    <w:p w:rsidR="00BE6FDB" w:rsidRPr="009C4AAA" w:rsidRDefault="00BE6FDB" w:rsidP="0072722B">
      <w:pPr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s-ES"/>
        </w:rPr>
      </w:pPr>
      <w:r w:rsidRPr="00011975">
        <w:rPr>
          <w:b/>
          <w:bCs/>
          <w:sz w:val="28"/>
          <w:szCs w:val="28"/>
          <w:lang w:val="es-ES"/>
        </w:rPr>
        <w:t xml:space="preserve">Visión: </w:t>
      </w:r>
    </w:p>
    <w:p w:rsidR="009C4AAA" w:rsidRPr="009C4AAA" w:rsidRDefault="009C4AAA" w:rsidP="0072722B">
      <w:pPr>
        <w:spacing w:before="100" w:beforeAutospacing="1" w:after="100" w:afterAutospacing="1" w:line="360" w:lineRule="auto"/>
        <w:ind w:left="720"/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>Desarrollar una eficiente supervisión de las operaciones del mercado asegurador para mantener la confianza y la credibilidad como entidad reguladora.</w:t>
      </w:r>
    </w:p>
    <w:p w:rsidR="009C4AAA" w:rsidRDefault="009C4AAA" w:rsidP="0072722B">
      <w:pPr>
        <w:pStyle w:val="Prrafodelista"/>
        <w:spacing w:before="100" w:beforeAutospacing="1" w:after="100" w:afterAutospacing="1" w:line="360" w:lineRule="auto"/>
        <w:ind w:left="720"/>
        <w:jc w:val="both"/>
        <w:rPr>
          <w:bCs/>
          <w:color w:val="000000"/>
          <w:sz w:val="24"/>
          <w:szCs w:val="24"/>
        </w:rPr>
      </w:pPr>
    </w:p>
    <w:p w:rsidR="00DE1BF7" w:rsidRDefault="009C4AAA" w:rsidP="0072722B">
      <w:pPr>
        <w:spacing w:before="100" w:beforeAutospacing="1" w:after="100" w:afterAutospacing="1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.</w:t>
      </w:r>
    </w:p>
    <w:p w:rsidR="00BE6FDB" w:rsidRDefault="00BE6FD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Default="00BE6FDB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2A30E1" w:rsidRDefault="002A30E1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8458E7" w:rsidRDefault="008458E7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7406B3" w:rsidRDefault="007406B3" w:rsidP="0072722B">
      <w:pPr>
        <w:spacing w:before="100" w:beforeAutospacing="1" w:after="100" w:afterAutospacing="1" w:line="360" w:lineRule="auto"/>
        <w:jc w:val="both"/>
        <w:rPr>
          <w:b/>
          <w:sz w:val="24"/>
          <w:szCs w:val="24"/>
        </w:rPr>
      </w:pPr>
    </w:p>
    <w:p w:rsidR="00BE6FDB" w:rsidRDefault="00BE6FDB" w:rsidP="0072722B">
      <w:pPr>
        <w:spacing w:before="100" w:beforeAutospacing="1" w:after="100" w:afterAutospacing="1"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SERVICIOS QUE OFRECE:</w:t>
      </w:r>
    </w:p>
    <w:p w:rsidR="00BE6FDB" w:rsidRPr="001E4F01" w:rsidRDefault="00D62166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>Atender las reclamaciones</w:t>
      </w:r>
      <w:r w:rsidR="00BE6FDB" w:rsidRPr="001E4F01">
        <w:rPr>
          <w:color w:val="000000"/>
          <w:sz w:val="24"/>
          <w:szCs w:val="24"/>
          <w:lang w:val="es-ES"/>
        </w:rPr>
        <w:t xml:space="preserve"> de pagos </w:t>
      </w:r>
      <w:r w:rsidR="00C22942">
        <w:rPr>
          <w:color w:val="000000"/>
          <w:sz w:val="24"/>
          <w:szCs w:val="24"/>
          <w:lang w:val="es-ES"/>
        </w:rPr>
        <w:t xml:space="preserve">de las </w:t>
      </w:r>
      <w:r w:rsidR="00BE6FDB" w:rsidRPr="001E4F01">
        <w:rPr>
          <w:color w:val="000000"/>
          <w:sz w:val="24"/>
          <w:szCs w:val="24"/>
          <w:lang w:val="es-ES"/>
        </w:rPr>
        <w:t>pólizas de seguros de compañías en liquidación forzosa.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Certificado de Pólizas de Seguros de Vehículos, Vida, Incendio y Líneas Aliadas.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Expedición de licencias para operar como corredor de seguros.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Expedición de licencias para operar como ajustador de seguros.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Expedición de licencias para operar como agente o agente legal</w:t>
      </w:r>
      <w:r w:rsidR="00E77040">
        <w:rPr>
          <w:color w:val="000000"/>
          <w:sz w:val="24"/>
          <w:szCs w:val="24"/>
          <w:lang w:val="es-ES"/>
        </w:rPr>
        <w:t>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Transferencia de licencia de una persona física de una compañía a otra.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Renovación de licencias para operar en el área del seguro.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</w:rPr>
      </w:pPr>
      <w:r w:rsidRPr="001E4F01">
        <w:rPr>
          <w:color w:val="000000"/>
          <w:sz w:val="24"/>
          <w:szCs w:val="24"/>
        </w:rPr>
        <w:t>Consulta de material bibliográfico.</w:t>
      </w:r>
    </w:p>
    <w:p w:rsidR="00BE6FDB" w:rsidRPr="001E4F01" w:rsidRDefault="00BE6FDB" w:rsidP="0072722B">
      <w:pPr>
        <w:numPr>
          <w:ilvl w:val="0"/>
          <w:numId w:val="18"/>
        </w:numPr>
        <w:spacing w:before="100" w:beforeAutospacing="1" w:after="100" w:afterAutospacing="1" w:line="480" w:lineRule="auto"/>
        <w:jc w:val="both"/>
        <w:rPr>
          <w:color w:val="000000"/>
          <w:sz w:val="24"/>
          <w:szCs w:val="24"/>
          <w:lang w:val="es-ES"/>
        </w:rPr>
      </w:pPr>
      <w:r w:rsidRPr="001E4F01">
        <w:rPr>
          <w:color w:val="000000"/>
          <w:sz w:val="24"/>
          <w:szCs w:val="24"/>
          <w:lang w:val="es-ES"/>
        </w:rPr>
        <w:t>Venta de boletines, revistas, formularios y material bibliográfico sobre seguros.</w:t>
      </w:r>
    </w:p>
    <w:p w:rsidR="00BE6FDB" w:rsidRPr="00A96D86" w:rsidRDefault="00BE6FDB" w:rsidP="0072722B">
      <w:pPr>
        <w:jc w:val="both"/>
        <w:rPr>
          <w:lang w:val="es-ES"/>
        </w:rPr>
      </w:pPr>
    </w:p>
    <w:p w:rsidR="00BE6FDB" w:rsidRPr="00BE6FDB" w:rsidRDefault="00BE6FDB" w:rsidP="0072722B">
      <w:pPr>
        <w:tabs>
          <w:tab w:val="left" w:pos="3037"/>
        </w:tabs>
        <w:jc w:val="both"/>
        <w:rPr>
          <w:lang w:val="es-ES"/>
        </w:rPr>
      </w:pPr>
    </w:p>
    <w:p w:rsidR="00BE6FDB" w:rsidRDefault="00BE6FDB" w:rsidP="0072722B">
      <w:pPr>
        <w:tabs>
          <w:tab w:val="left" w:pos="3037"/>
        </w:tabs>
        <w:jc w:val="both"/>
      </w:pPr>
    </w:p>
    <w:p w:rsidR="00BE6FDB" w:rsidRDefault="00BE6FDB" w:rsidP="0072722B">
      <w:pPr>
        <w:tabs>
          <w:tab w:val="left" w:pos="3037"/>
        </w:tabs>
        <w:jc w:val="both"/>
      </w:pPr>
    </w:p>
    <w:p w:rsidR="00BE6FDB" w:rsidRDefault="00BE6FDB" w:rsidP="0072722B">
      <w:pPr>
        <w:tabs>
          <w:tab w:val="left" w:pos="3037"/>
        </w:tabs>
        <w:jc w:val="both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  <w:jc w:val="center"/>
      </w:pPr>
    </w:p>
    <w:p w:rsidR="00BE6FDB" w:rsidRDefault="00BE6FDB" w:rsidP="00BE6FDB">
      <w:pPr>
        <w:tabs>
          <w:tab w:val="left" w:pos="3037"/>
        </w:tabs>
      </w:pPr>
    </w:p>
    <w:p w:rsidR="00BE6FDB" w:rsidRDefault="00BE6FDB" w:rsidP="00BE6FDB">
      <w:pPr>
        <w:rPr>
          <w:sz w:val="44"/>
          <w:szCs w:val="44"/>
        </w:rPr>
      </w:pPr>
    </w:p>
    <w:p w:rsidR="006F1EBB" w:rsidRDefault="006F1EBB" w:rsidP="006F1EBB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6F1EBB" w:rsidRPr="00E467C0" w:rsidRDefault="006F1EBB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  <w:r w:rsidRPr="00E467C0">
        <w:rPr>
          <w:b/>
          <w:sz w:val="24"/>
          <w:szCs w:val="24"/>
          <w:lang w:val="es-ES"/>
        </w:rPr>
        <w:t xml:space="preserve">RESUMEN EJECUTIVO  </w:t>
      </w:r>
    </w:p>
    <w:p w:rsidR="006F1EBB" w:rsidRPr="00E467C0" w:rsidRDefault="006F1EBB" w:rsidP="0072722B">
      <w:pPr>
        <w:spacing w:line="360" w:lineRule="auto"/>
        <w:jc w:val="both"/>
        <w:rPr>
          <w:b/>
          <w:color w:val="FF0000"/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color w:val="000000"/>
          <w:sz w:val="24"/>
          <w:szCs w:val="24"/>
          <w:lang w:val="es-ES"/>
        </w:rPr>
      </w:pPr>
      <w:r w:rsidRPr="00E467C0">
        <w:rPr>
          <w:color w:val="000000"/>
          <w:sz w:val="24"/>
          <w:szCs w:val="24"/>
          <w:lang w:val="es-ES"/>
        </w:rPr>
        <w:t xml:space="preserve">La Superintendencia de Seguros, </w:t>
      </w:r>
      <w:r>
        <w:rPr>
          <w:color w:val="000000"/>
          <w:sz w:val="24"/>
          <w:szCs w:val="24"/>
          <w:lang w:val="es-ES"/>
        </w:rPr>
        <w:t>entidad</w:t>
      </w:r>
      <w:r w:rsidRPr="00E467C0">
        <w:rPr>
          <w:color w:val="000000"/>
          <w:sz w:val="24"/>
          <w:szCs w:val="24"/>
          <w:lang w:val="es-ES"/>
        </w:rPr>
        <w:t xml:space="preserve"> encargada de supervisar, fiscalizar y administrar el régimen legal de las c</w:t>
      </w:r>
      <w:r>
        <w:rPr>
          <w:color w:val="000000"/>
          <w:sz w:val="24"/>
          <w:szCs w:val="24"/>
          <w:lang w:val="es-ES"/>
        </w:rPr>
        <w:t xml:space="preserve">ompañías de seguros, reaseguros </w:t>
      </w:r>
      <w:r w:rsidR="005E71F5">
        <w:rPr>
          <w:color w:val="000000"/>
          <w:sz w:val="24"/>
          <w:szCs w:val="24"/>
          <w:lang w:val="es-ES"/>
        </w:rPr>
        <w:t>e</w:t>
      </w:r>
      <w:r>
        <w:rPr>
          <w:color w:val="000000"/>
          <w:sz w:val="24"/>
          <w:szCs w:val="24"/>
          <w:lang w:val="es-ES"/>
        </w:rPr>
        <w:t xml:space="preserve"> </w:t>
      </w:r>
      <w:r w:rsidRPr="00E467C0">
        <w:rPr>
          <w:color w:val="000000"/>
          <w:sz w:val="24"/>
          <w:szCs w:val="24"/>
          <w:lang w:val="es-ES"/>
        </w:rPr>
        <w:t xml:space="preserve"> intermediarios a través de la aplicación de la </w:t>
      </w:r>
      <w:r w:rsidRPr="00B32BDB">
        <w:rPr>
          <w:sz w:val="24"/>
          <w:szCs w:val="24"/>
          <w:lang w:val="es-ES"/>
        </w:rPr>
        <w:t>Ley No.</w:t>
      </w:r>
      <w:r w:rsidRPr="00E467C0">
        <w:rPr>
          <w:color w:val="000000"/>
          <w:sz w:val="24"/>
          <w:szCs w:val="24"/>
          <w:lang w:val="es-ES"/>
        </w:rPr>
        <w:t xml:space="preserve"> 146-02 sobre</w:t>
      </w:r>
      <w:r w:rsidRPr="00B32BDB">
        <w:rPr>
          <w:color w:val="000000"/>
          <w:sz w:val="24"/>
          <w:szCs w:val="24"/>
          <w:lang w:val="es-ES"/>
        </w:rPr>
        <w:t xml:space="preserve"> </w:t>
      </w:r>
      <w:r w:rsidRPr="00B32BDB">
        <w:rPr>
          <w:sz w:val="24"/>
          <w:szCs w:val="24"/>
          <w:lang w:val="es-ES"/>
        </w:rPr>
        <w:t>Se</w:t>
      </w:r>
      <w:r>
        <w:rPr>
          <w:color w:val="000000"/>
          <w:sz w:val="24"/>
          <w:szCs w:val="24"/>
          <w:lang w:val="es-ES"/>
        </w:rPr>
        <w:t>guros y Fianzas</w:t>
      </w:r>
      <w:r w:rsidRPr="00E467C0">
        <w:rPr>
          <w:color w:val="000000"/>
          <w:sz w:val="24"/>
          <w:szCs w:val="24"/>
          <w:lang w:val="es-ES"/>
        </w:rPr>
        <w:t xml:space="preserve"> de la República Dominicana</w:t>
      </w:r>
      <w:r w:rsidRPr="00B32BDB">
        <w:rPr>
          <w:sz w:val="24"/>
          <w:szCs w:val="24"/>
          <w:lang w:val="es-ES"/>
        </w:rPr>
        <w:t>, desarrolló</w:t>
      </w:r>
      <w:r>
        <w:rPr>
          <w:color w:val="000000"/>
          <w:sz w:val="24"/>
          <w:szCs w:val="24"/>
          <w:lang w:val="es-ES"/>
        </w:rPr>
        <w:t xml:space="preserve"> las siguientes </w:t>
      </w:r>
      <w:r w:rsidRPr="00E467C0">
        <w:rPr>
          <w:color w:val="000000"/>
          <w:sz w:val="24"/>
          <w:szCs w:val="24"/>
          <w:lang w:val="es-ES"/>
        </w:rPr>
        <w:t xml:space="preserve"> </w:t>
      </w:r>
      <w:r>
        <w:rPr>
          <w:color w:val="000000"/>
          <w:sz w:val="24"/>
          <w:szCs w:val="24"/>
          <w:lang w:val="es-ES"/>
        </w:rPr>
        <w:t xml:space="preserve"> actividades.</w:t>
      </w:r>
    </w:p>
    <w:p w:rsidR="006F1EBB" w:rsidRPr="00E467C0" w:rsidRDefault="006F1EBB" w:rsidP="0072722B">
      <w:pPr>
        <w:spacing w:line="360" w:lineRule="auto"/>
        <w:jc w:val="both"/>
        <w:rPr>
          <w:color w:val="000000"/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resultado de las medidas de supervisión, inspección y regulación al mercado asegurador y reasegurador dominicano, l</w:t>
      </w:r>
      <w:r w:rsidRPr="009137AE">
        <w:rPr>
          <w:sz w:val="24"/>
          <w:szCs w:val="24"/>
          <w:lang w:val="es-ES"/>
        </w:rPr>
        <w:t xml:space="preserve">as primas </w:t>
      </w:r>
      <w:r>
        <w:rPr>
          <w:sz w:val="24"/>
          <w:szCs w:val="24"/>
          <w:lang w:val="es-ES"/>
        </w:rPr>
        <w:t>n</w:t>
      </w:r>
      <w:r w:rsidRPr="009137AE">
        <w:rPr>
          <w:sz w:val="24"/>
          <w:szCs w:val="24"/>
          <w:lang w:val="es-ES"/>
        </w:rPr>
        <w:t xml:space="preserve">etas y </w:t>
      </w:r>
      <w:r>
        <w:rPr>
          <w:sz w:val="24"/>
          <w:szCs w:val="24"/>
          <w:lang w:val="es-ES"/>
        </w:rPr>
        <w:t>e</w:t>
      </w:r>
      <w:r w:rsidRPr="009137AE">
        <w:rPr>
          <w:sz w:val="24"/>
          <w:szCs w:val="24"/>
          <w:lang w:val="es-ES"/>
        </w:rPr>
        <w:t xml:space="preserve">xoneradas </w:t>
      </w:r>
      <w:r>
        <w:rPr>
          <w:sz w:val="24"/>
          <w:szCs w:val="24"/>
          <w:lang w:val="es-ES"/>
        </w:rPr>
        <w:t>c</w:t>
      </w:r>
      <w:r w:rsidR="00C9551D">
        <w:rPr>
          <w:sz w:val="24"/>
          <w:szCs w:val="24"/>
          <w:lang w:val="es-ES"/>
        </w:rPr>
        <w:t>obradas en el periodo alcanzaron un monto de RD$48,117,773,801.00 (cuarenta y ocho mil ciento y diez  y siete millones, setecientos setenta y tres mil ochocientos un pesos co</w:t>
      </w:r>
      <w:r w:rsidR="00CF61D9">
        <w:rPr>
          <w:sz w:val="24"/>
          <w:szCs w:val="24"/>
          <w:lang w:val="es-ES"/>
        </w:rPr>
        <w:t>n 00/100), de los cuales RD$  36,088,330,351.00 ( Treinta y seis</w:t>
      </w:r>
      <w:r w:rsidR="00C9551D">
        <w:rPr>
          <w:sz w:val="24"/>
          <w:szCs w:val="24"/>
          <w:lang w:val="es-ES"/>
        </w:rPr>
        <w:t xml:space="preserve"> mil ochenta y ocho millones, trescientos treinta mil trescientos cincuenta y un pesos con 00/100 corresponden a primas netas y RD$ 12,029,443,450.00 (</w:t>
      </w:r>
      <w:r w:rsidR="000163E2">
        <w:rPr>
          <w:sz w:val="24"/>
          <w:szCs w:val="24"/>
          <w:lang w:val="es-ES"/>
        </w:rPr>
        <w:t xml:space="preserve"> doce mil veintinueve millones, cuatrocientos cuarenta y tres mil cuatrocientos cincuenta pesos con 00/100 corresponden a las primas exoneradas.</w:t>
      </w:r>
    </w:p>
    <w:p w:rsidR="006F1EBB" w:rsidRPr="005E3741" w:rsidRDefault="000163E2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A63FCD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elaboraron las siguientes re</w:t>
      </w:r>
      <w:r w:rsidR="000E3AB8">
        <w:rPr>
          <w:sz w:val="24"/>
          <w:szCs w:val="24"/>
          <w:lang w:val="es-ES"/>
        </w:rPr>
        <w:t>soluciones, la No.1-2017 de fecha 13 de enero del 2017 revocando la autorización para operar el negocio de se</w:t>
      </w:r>
      <w:r w:rsidR="00E85CF4">
        <w:rPr>
          <w:sz w:val="24"/>
          <w:szCs w:val="24"/>
          <w:lang w:val="es-ES"/>
        </w:rPr>
        <w:t>guros en todos los ramos a S</w:t>
      </w:r>
      <w:r w:rsidR="000E3AB8">
        <w:rPr>
          <w:sz w:val="24"/>
          <w:szCs w:val="24"/>
          <w:lang w:val="es-ES"/>
        </w:rPr>
        <w:t xml:space="preserve">eguros </w:t>
      </w:r>
      <w:r w:rsidR="00E85CF4">
        <w:rPr>
          <w:sz w:val="24"/>
          <w:szCs w:val="24"/>
          <w:lang w:val="es-ES"/>
        </w:rPr>
        <w:t>C</w:t>
      </w:r>
      <w:r w:rsidR="000E3AB8">
        <w:rPr>
          <w:sz w:val="24"/>
          <w:szCs w:val="24"/>
          <w:lang w:val="es-ES"/>
        </w:rPr>
        <w:t xml:space="preserve">onstitución, </w:t>
      </w:r>
      <w:r w:rsidR="00B460EA">
        <w:rPr>
          <w:sz w:val="24"/>
          <w:szCs w:val="24"/>
          <w:lang w:val="es-ES"/>
        </w:rPr>
        <w:t>S</w:t>
      </w:r>
      <w:r w:rsidR="000E3AB8">
        <w:rPr>
          <w:sz w:val="24"/>
          <w:szCs w:val="24"/>
          <w:lang w:val="es-ES"/>
        </w:rPr>
        <w:t>.</w:t>
      </w:r>
      <w:r w:rsidR="00B460EA">
        <w:rPr>
          <w:sz w:val="24"/>
          <w:szCs w:val="24"/>
          <w:lang w:val="es-ES"/>
        </w:rPr>
        <w:t>A</w:t>
      </w:r>
      <w:r w:rsidR="000E3AB8">
        <w:rPr>
          <w:sz w:val="24"/>
          <w:szCs w:val="24"/>
          <w:lang w:val="es-ES"/>
        </w:rPr>
        <w:t xml:space="preserve">, la No.04-2017 de fecha 2 de mayo del 2017 relativa a la inversión de las reservas de las </w:t>
      </w:r>
      <w:r w:rsidR="005E71F5">
        <w:rPr>
          <w:sz w:val="24"/>
          <w:szCs w:val="24"/>
          <w:lang w:val="es-ES"/>
        </w:rPr>
        <w:t>compañías</w:t>
      </w:r>
      <w:r w:rsidR="00B460EA">
        <w:rPr>
          <w:sz w:val="24"/>
          <w:szCs w:val="24"/>
          <w:lang w:val="es-ES"/>
        </w:rPr>
        <w:t xml:space="preserve"> aseguradoras y reaseguradoras</w:t>
      </w:r>
      <w:r w:rsidR="00983B38">
        <w:rPr>
          <w:sz w:val="24"/>
          <w:szCs w:val="24"/>
          <w:lang w:val="es-ES"/>
        </w:rPr>
        <w:t>,</w:t>
      </w:r>
      <w:r w:rsidR="00B460EA">
        <w:rPr>
          <w:sz w:val="24"/>
          <w:szCs w:val="24"/>
          <w:lang w:val="es-ES"/>
        </w:rPr>
        <w:t xml:space="preserve"> en nuevos instrumentos de inversión</w:t>
      </w:r>
      <w:r w:rsidR="000E3AB8">
        <w:rPr>
          <w:sz w:val="24"/>
          <w:szCs w:val="24"/>
          <w:lang w:val="es-ES"/>
        </w:rPr>
        <w:t xml:space="preserve">, la </w:t>
      </w:r>
      <w:r w:rsidR="00B460EA">
        <w:rPr>
          <w:sz w:val="24"/>
          <w:szCs w:val="24"/>
          <w:lang w:val="es-ES"/>
        </w:rPr>
        <w:t xml:space="preserve">resolución </w:t>
      </w:r>
      <w:r w:rsidR="000E3AB8">
        <w:rPr>
          <w:sz w:val="24"/>
          <w:szCs w:val="24"/>
          <w:lang w:val="es-ES"/>
        </w:rPr>
        <w:t>No.06-2017 de fecha 26 octubre del 2017 mediante la cual se suspende temporalmente el ramo de fianzas a la asegu</w:t>
      </w:r>
      <w:r w:rsidR="00A63FCD">
        <w:rPr>
          <w:sz w:val="24"/>
          <w:szCs w:val="24"/>
          <w:lang w:val="es-ES"/>
        </w:rPr>
        <w:t>radora Amigos Compañía de S</w:t>
      </w:r>
      <w:r w:rsidR="002103D9">
        <w:rPr>
          <w:sz w:val="24"/>
          <w:szCs w:val="24"/>
          <w:lang w:val="es-ES"/>
        </w:rPr>
        <w:t>eguros</w:t>
      </w:r>
      <w:r w:rsidR="00A63FCD">
        <w:rPr>
          <w:sz w:val="24"/>
          <w:szCs w:val="24"/>
          <w:lang w:val="es-ES"/>
        </w:rPr>
        <w:t>, S.A.</w:t>
      </w:r>
    </w:p>
    <w:p w:rsidR="002103D9" w:rsidRDefault="002103D9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A63FCD" w:rsidRDefault="00A63FCD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Le fue aprobada la solicitud de cambio de nombre de </w:t>
      </w:r>
      <w:r w:rsidRPr="007805AF">
        <w:rPr>
          <w:sz w:val="24"/>
          <w:szCs w:val="24"/>
          <w:lang w:val="es-ES"/>
        </w:rPr>
        <w:t>S</w:t>
      </w:r>
      <w:r w:rsidR="007805AF" w:rsidRPr="007805AF">
        <w:rPr>
          <w:sz w:val="24"/>
          <w:szCs w:val="24"/>
          <w:lang w:val="es-ES"/>
        </w:rPr>
        <w:t>eguros</w:t>
      </w:r>
      <w:r>
        <w:rPr>
          <w:sz w:val="24"/>
          <w:szCs w:val="24"/>
          <w:lang w:val="es-ES"/>
        </w:rPr>
        <w:t xml:space="preserve"> B</w:t>
      </w:r>
      <w:r w:rsidR="007805AF">
        <w:rPr>
          <w:sz w:val="24"/>
          <w:szCs w:val="24"/>
          <w:lang w:val="es-ES"/>
        </w:rPr>
        <w:t>anreservas</w:t>
      </w:r>
      <w:r w:rsidR="005E71F5">
        <w:rPr>
          <w:sz w:val="24"/>
          <w:szCs w:val="24"/>
          <w:lang w:val="es-ES"/>
        </w:rPr>
        <w:t>, S.A</w:t>
      </w:r>
      <w:r w:rsidR="002249AC">
        <w:rPr>
          <w:sz w:val="24"/>
          <w:szCs w:val="24"/>
          <w:lang w:val="es-ES"/>
        </w:rPr>
        <w:t>. por S</w:t>
      </w:r>
      <w:r w:rsidR="007805AF">
        <w:rPr>
          <w:sz w:val="24"/>
          <w:szCs w:val="24"/>
          <w:lang w:val="es-ES"/>
        </w:rPr>
        <w:t xml:space="preserve">eguros </w:t>
      </w:r>
      <w:r w:rsidR="002249AC">
        <w:rPr>
          <w:sz w:val="24"/>
          <w:szCs w:val="24"/>
          <w:lang w:val="es-ES"/>
        </w:rPr>
        <w:t>R</w:t>
      </w:r>
      <w:r w:rsidR="007805AF">
        <w:rPr>
          <w:sz w:val="24"/>
          <w:szCs w:val="24"/>
          <w:lang w:val="es-ES"/>
        </w:rPr>
        <w:t>eservas</w:t>
      </w:r>
      <w:r w:rsidR="005E71F5">
        <w:rPr>
          <w:sz w:val="24"/>
          <w:szCs w:val="24"/>
          <w:lang w:val="es-ES"/>
        </w:rPr>
        <w:t>, S.A</w:t>
      </w:r>
      <w:r w:rsidR="002249AC">
        <w:rPr>
          <w:sz w:val="24"/>
          <w:szCs w:val="24"/>
          <w:lang w:val="es-ES"/>
        </w:rPr>
        <w:t xml:space="preserve">. </w:t>
      </w:r>
    </w:p>
    <w:p w:rsidR="007805AF" w:rsidRDefault="007805AF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2249AC" w:rsidRDefault="002249AC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 intervenida administrativamente</w:t>
      </w:r>
      <w:r w:rsidR="007805AF">
        <w:rPr>
          <w:sz w:val="24"/>
          <w:szCs w:val="24"/>
          <w:lang w:val="es-ES"/>
        </w:rPr>
        <w:t xml:space="preserve">  </w:t>
      </w:r>
      <w:r w:rsidR="007805AF" w:rsidRPr="00797712">
        <w:rPr>
          <w:sz w:val="24"/>
          <w:szCs w:val="24"/>
          <w:lang w:val="es-ES"/>
        </w:rPr>
        <w:t>L</w:t>
      </w:r>
      <w:r w:rsidR="00797712" w:rsidRPr="00797712">
        <w:rPr>
          <w:sz w:val="24"/>
          <w:szCs w:val="24"/>
          <w:lang w:val="es-ES"/>
        </w:rPr>
        <w:t>a</w:t>
      </w:r>
      <w:r w:rsidR="007805AF" w:rsidRPr="00797712">
        <w:rPr>
          <w:sz w:val="24"/>
          <w:szCs w:val="24"/>
          <w:lang w:val="es-ES"/>
        </w:rPr>
        <w:t xml:space="preserve"> C</w:t>
      </w:r>
      <w:r w:rsidR="00797712">
        <w:rPr>
          <w:sz w:val="24"/>
          <w:szCs w:val="24"/>
          <w:lang w:val="es-ES"/>
        </w:rPr>
        <w:t>omercial</w:t>
      </w:r>
      <w:r w:rsidR="007805AF">
        <w:rPr>
          <w:sz w:val="24"/>
          <w:szCs w:val="24"/>
          <w:lang w:val="es-ES"/>
        </w:rPr>
        <w:t xml:space="preserve"> </w:t>
      </w:r>
      <w:r w:rsidR="00797712">
        <w:rPr>
          <w:sz w:val="24"/>
          <w:szCs w:val="24"/>
          <w:lang w:val="es-ES"/>
        </w:rPr>
        <w:t xml:space="preserve">de </w:t>
      </w:r>
      <w:r w:rsidR="007805AF">
        <w:rPr>
          <w:sz w:val="24"/>
          <w:szCs w:val="24"/>
          <w:lang w:val="es-ES"/>
        </w:rPr>
        <w:t>S</w:t>
      </w:r>
      <w:r w:rsidR="00797712">
        <w:rPr>
          <w:sz w:val="24"/>
          <w:szCs w:val="24"/>
          <w:lang w:val="es-ES"/>
        </w:rPr>
        <w:t>eguros</w:t>
      </w:r>
      <w:r w:rsidR="007805AF">
        <w:rPr>
          <w:sz w:val="24"/>
          <w:szCs w:val="24"/>
          <w:lang w:val="es-ES"/>
        </w:rPr>
        <w:t>, S.A.</w:t>
      </w:r>
    </w:p>
    <w:p w:rsidR="007805AF" w:rsidRDefault="007805AF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2249AC" w:rsidRDefault="002249AC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actualizados los fondos de garantía de varias compañías aseguradoras, a solicitud de esta superintendencia.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Recibimos y</w:t>
      </w:r>
      <w:r w:rsidR="00133C58">
        <w:rPr>
          <w:sz w:val="24"/>
          <w:szCs w:val="24"/>
          <w:lang w:val="es-ES"/>
        </w:rPr>
        <w:t xml:space="preserve"> canalizamos </w:t>
      </w:r>
      <w:r w:rsidR="00FB6AB6">
        <w:rPr>
          <w:sz w:val="24"/>
          <w:szCs w:val="24"/>
          <w:lang w:val="es-ES"/>
        </w:rPr>
        <w:t xml:space="preserve">novecientos </w:t>
      </w:r>
      <w:r w:rsidR="00133C58">
        <w:rPr>
          <w:sz w:val="24"/>
          <w:szCs w:val="24"/>
          <w:lang w:val="es-ES"/>
        </w:rPr>
        <w:t xml:space="preserve"> treinta y cuatro</w:t>
      </w:r>
      <w:r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(</w:t>
      </w:r>
      <w:r w:rsidR="00FB6AB6">
        <w:rPr>
          <w:sz w:val="24"/>
          <w:szCs w:val="24"/>
          <w:lang w:val="es-ES"/>
        </w:rPr>
        <w:t>934</w:t>
      </w:r>
      <w:r w:rsidRPr="00E467C0">
        <w:rPr>
          <w:sz w:val="24"/>
          <w:szCs w:val="24"/>
          <w:lang w:val="es-ES"/>
        </w:rPr>
        <w:t xml:space="preserve">)  solicitudes </w:t>
      </w:r>
      <w:r>
        <w:rPr>
          <w:sz w:val="24"/>
          <w:szCs w:val="24"/>
          <w:lang w:val="es-ES"/>
        </w:rPr>
        <w:t>de</w:t>
      </w:r>
      <w:r w:rsidRPr="000D7FFD"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licencias</w:t>
      </w:r>
      <w:r>
        <w:rPr>
          <w:sz w:val="24"/>
          <w:szCs w:val="24"/>
          <w:lang w:val="es-ES"/>
        </w:rPr>
        <w:t xml:space="preserve"> y </w:t>
      </w:r>
      <w:r w:rsidRPr="00E467C0">
        <w:rPr>
          <w:sz w:val="24"/>
          <w:szCs w:val="24"/>
          <w:lang w:val="es-ES"/>
        </w:rPr>
        <w:t xml:space="preserve"> renovacion</w:t>
      </w:r>
      <w:r>
        <w:rPr>
          <w:sz w:val="24"/>
          <w:szCs w:val="24"/>
          <w:lang w:val="es-ES"/>
        </w:rPr>
        <w:t>es</w:t>
      </w:r>
      <w:r w:rsidRPr="00E467C0">
        <w:rPr>
          <w:sz w:val="24"/>
          <w:szCs w:val="24"/>
          <w:lang w:val="es-ES"/>
        </w:rPr>
        <w:t xml:space="preserve"> de diferentes tipos</w:t>
      </w:r>
      <w:r>
        <w:rPr>
          <w:sz w:val="24"/>
          <w:szCs w:val="24"/>
          <w:lang w:val="es-ES"/>
        </w:rPr>
        <w:t xml:space="preserve">. </w:t>
      </w:r>
    </w:p>
    <w:p w:rsidR="006F1EBB" w:rsidRPr="00E467C0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E467C0">
        <w:rPr>
          <w:sz w:val="24"/>
          <w:szCs w:val="24"/>
          <w:lang w:val="es-ES"/>
        </w:rPr>
        <w:t xml:space="preserve">Las certificaciones expedidas alcanzaron un total de </w:t>
      </w:r>
      <w:r>
        <w:rPr>
          <w:sz w:val="24"/>
          <w:szCs w:val="24"/>
          <w:lang w:val="es-ES"/>
        </w:rPr>
        <w:t xml:space="preserve">cuatro </w:t>
      </w:r>
      <w:r w:rsidRPr="00E467C0">
        <w:rPr>
          <w:sz w:val="24"/>
          <w:szCs w:val="24"/>
          <w:lang w:val="es-ES"/>
        </w:rPr>
        <w:t>mil</w:t>
      </w:r>
      <w:r w:rsidR="00133C58">
        <w:rPr>
          <w:sz w:val="24"/>
          <w:szCs w:val="24"/>
          <w:lang w:val="es-ES"/>
        </w:rPr>
        <w:t xml:space="preserve"> setecient</w:t>
      </w:r>
      <w:r w:rsidR="00615329">
        <w:rPr>
          <w:sz w:val="24"/>
          <w:szCs w:val="24"/>
          <w:lang w:val="es-ES"/>
        </w:rPr>
        <w:t>o</w:t>
      </w:r>
      <w:r w:rsidR="00133C58">
        <w:rPr>
          <w:sz w:val="24"/>
          <w:szCs w:val="24"/>
          <w:lang w:val="es-ES"/>
        </w:rPr>
        <w:t>s setenta y un</w:t>
      </w:r>
      <w:r w:rsidR="00615329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4</w:t>
      </w:r>
      <w:r w:rsidRPr="00E467C0">
        <w:rPr>
          <w:sz w:val="24"/>
          <w:szCs w:val="24"/>
          <w:lang w:val="es-ES"/>
        </w:rPr>
        <w:t>,</w:t>
      </w:r>
      <w:r w:rsidR="00133C58">
        <w:rPr>
          <w:sz w:val="24"/>
          <w:szCs w:val="24"/>
          <w:lang w:val="es-ES"/>
        </w:rPr>
        <w:t>771</w:t>
      </w:r>
      <w:r w:rsidRPr="00E467C0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>, atendiendo requerimientos de personas físicas y morales.</w:t>
      </w:r>
      <w:r w:rsidRPr="00E467C0">
        <w:rPr>
          <w:sz w:val="24"/>
          <w:szCs w:val="24"/>
          <w:lang w:val="es-ES"/>
        </w:rPr>
        <w:t xml:space="preserve"> 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Verificamos m</w:t>
      </w:r>
      <w:r w:rsidR="00CC0E88">
        <w:rPr>
          <w:sz w:val="24"/>
          <w:szCs w:val="24"/>
          <w:lang w:val="es-ES"/>
        </w:rPr>
        <w:t>il trescientos cincuenta y tres</w:t>
      </w:r>
      <w:r w:rsidRPr="00742A6C">
        <w:rPr>
          <w:sz w:val="24"/>
          <w:szCs w:val="24"/>
          <w:lang w:val="es-ES"/>
        </w:rPr>
        <w:t xml:space="preserve"> </w:t>
      </w:r>
      <w:r w:rsidR="00CC0E88">
        <w:rPr>
          <w:sz w:val="24"/>
          <w:szCs w:val="24"/>
          <w:lang w:val="es-ES"/>
        </w:rPr>
        <w:t>(1,353</w:t>
      </w:r>
      <w:r>
        <w:rPr>
          <w:sz w:val="24"/>
          <w:szCs w:val="24"/>
          <w:lang w:val="es-ES"/>
        </w:rPr>
        <w:t xml:space="preserve">) contratos de fianzas para asegurar el cumplimento de las obligaciones en virtud de sentencias dictadas en las cortes. 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encuentran depositados en la dire</w:t>
      </w:r>
      <w:r w:rsidR="00CC0E88">
        <w:rPr>
          <w:sz w:val="24"/>
          <w:szCs w:val="24"/>
          <w:lang w:val="es-ES"/>
        </w:rPr>
        <w:t>cción financiera, sesenta (60</w:t>
      </w:r>
      <w:r>
        <w:rPr>
          <w:sz w:val="24"/>
          <w:szCs w:val="24"/>
          <w:lang w:val="es-ES"/>
        </w:rPr>
        <w:t xml:space="preserve">) certificados financiero, para avalar las licencias de los Corredores y Ajustadores de seguros. 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 w:rsidRPr="00640A84">
        <w:rPr>
          <w:sz w:val="24"/>
          <w:szCs w:val="24"/>
          <w:lang w:val="es-ES"/>
        </w:rPr>
        <w:t>Fueron registradas</w:t>
      </w:r>
      <w:r w:rsidR="00B47B9A">
        <w:rPr>
          <w:sz w:val="24"/>
          <w:szCs w:val="24"/>
          <w:lang w:val="es-ES"/>
        </w:rPr>
        <w:t xml:space="preserve"> ocho (08</w:t>
      </w:r>
      <w:r>
        <w:rPr>
          <w:sz w:val="24"/>
          <w:szCs w:val="24"/>
          <w:lang w:val="es-ES"/>
        </w:rPr>
        <w:t xml:space="preserve">) firmas de Auditores y  Auditor independiente para que las compañías aseguradoras realicen sus auditorías con firmas de auditores registrados en esta Superintendencia de Seguros en correspondencia a los requisitos establecidos. 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 w:rsidRPr="00A933D6">
        <w:rPr>
          <w:sz w:val="24"/>
          <w:szCs w:val="24"/>
          <w:lang w:val="es-ES"/>
        </w:rPr>
        <w:t>Actuando como Amigable Comp</w:t>
      </w:r>
      <w:r>
        <w:rPr>
          <w:sz w:val="24"/>
          <w:szCs w:val="24"/>
          <w:lang w:val="es-ES"/>
        </w:rPr>
        <w:t>onedor</w:t>
      </w:r>
      <w:r w:rsidRPr="00A933D6">
        <w:rPr>
          <w:sz w:val="24"/>
          <w:szCs w:val="24"/>
          <w:lang w:val="es-ES"/>
        </w:rPr>
        <w:t xml:space="preserve"> en el proceso de conciliación y arbitraje</w:t>
      </w:r>
      <w:r>
        <w:rPr>
          <w:sz w:val="24"/>
          <w:szCs w:val="24"/>
          <w:lang w:val="es-ES"/>
        </w:rPr>
        <w:t>,</w:t>
      </w:r>
      <w:r w:rsidRPr="00A933D6">
        <w:rPr>
          <w:sz w:val="24"/>
          <w:szCs w:val="24"/>
          <w:lang w:val="es-ES"/>
        </w:rPr>
        <w:t xml:space="preserve"> fueron  conocidas</w:t>
      </w:r>
      <w:r w:rsidR="006514C6">
        <w:rPr>
          <w:sz w:val="24"/>
          <w:szCs w:val="24"/>
          <w:lang w:val="es-ES"/>
        </w:rPr>
        <w:t xml:space="preserve"> </w:t>
      </w:r>
      <w:r w:rsidR="00AA30A7">
        <w:rPr>
          <w:sz w:val="24"/>
          <w:szCs w:val="24"/>
          <w:lang w:val="es-ES"/>
        </w:rPr>
        <w:t xml:space="preserve">cientos seis </w:t>
      </w:r>
      <w:r w:rsidR="004F3B47">
        <w:rPr>
          <w:sz w:val="24"/>
          <w:szCs w:val="24"/>
          <w:lang w:val="es-ES"/>
        </w:rPr>
        <w:t>(</w:t>
      </w:r>
      <w:r w:rsidR="00AA30A7">
        <w:rPr>
          <w:sz w:val="24"/>
          <w:szCs w:val="24"/>
          <w:lang w:val="es-ES"/>
        </w:rPr>
        <w:t>106</w:t>
      </w:r>
      <w:r w:rsidR="004F3B47">
        <w:rPr>
          <w:sz w:val="24"/>
          <w:szCs w:val="24"/>
          <w:lang w:val="es-ES"/>
        </w:rPr>
        <w:t>)</w:t>
      </w:r>
      <w:r w:rsidRPr="00A933D6">
        <w:rPr>
          <w:sz w:val="24"/>
          <w:szCs w:val="24"/>
          <w:lang w:val="es-ES"/>
        </w:rPr>
        <w:t xml:space="preserve">  conciliaciones entre las diferentes compañías de segu</w:t>
      </w:r>
      <w:r>
        <w:rPr>
          <w:sz w:val="24"/>
          <w:szCs w:val="24"/>
          <w:lang w:val="es-ES"/>
        </w:rPr>
        <w:t>ros y sus asegurados y se re</w:t>
      </w:r>
      <w:r w:rsidR="006514C6">
        <w:rPr>
          <w:sz w:val="24"/>
          <w:szCs w:val="24"/>
          <w:lang w:val="es-ES"/>
        </w:rPr>
        <w:t xml:space="preserve">dactaron cuarenta y </w:t>
      </w:r>
      <w:r w:rsidR="00AA30A7">
        <w:rPr>
          <w:sz w:val="24"/>
          <w:szCs w:val="24"/>
          <w:lang w:val="es-ES"/>
        </w:rPr>
        <w:t>nueve</w:t>
      </w:r>
      <w:r w:rsidR="004F3B47">
        <w:rPr>
          <w:sz w:val="24"/>
          <w:szCs w:val="24"/>
          <w:lang w:val="es-ES"/>
        </w:rPr>
        <w:t xml:space="preserve">  (4</w:t>
      </w:r>
      <w:r w:rsidR="00AA30A7">
        <w:rPr>
          <w:sz w:val="24"/>
          <w:szCs w:val="24"/>
          <w:lang w:val="es-ES"/>
        </w:rPr>
        <w:t>9</w:t>
      </w:r>
      <w:r w:rsidR="004F3B47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Actas de no Acuerdos, ya que las partes no pudieron conciliar y así permitir que los asegurados puedan llevar sus reclamaciones a los </w:t>
      </w:r>
      <w:r w:rsidRPr="00640A84">
        <w:rPr>
          <w:sz w:val="24"/>
          <w:szCs w:val="24"/>
          <w:lang w:val="es-ES"/>
        </w:rPr>
        <w:t>tribunales correspondientes.</w:t>
      </w:r>
      <w:r>
        <w:rPr>
          <w:sz w:val="24"/>
          <w:szCs w:val="24"/>
          <w:lang w:val="es-ES"/>
        </w:rPr>
        <w:t xml:space="preserve"> 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</w:t>
      </w:r>
      <w:r w:rsidRPr="006778EA">
        <w:rPr>
          <w:sz w:val="24"/>
          <w:szCs w:val="24"/>
          <w:lang w:val="es-ES"/>
        </w:rPr>
        <w:t>ublic</w:t>
      </w:r>
      <w:r>
        <w:rPr>
          <w:sz w:val="24"/>
          <w:szCs w:val="24"/>
          <w:lang w:val="es-ES"/>
        </w:rPr>
        <w:t>am</w:t>
      </w:r>
      <w:r w:rsidRPr="006778EA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s </w:t>
      </w:r>
      <w:r w:rsidR="00202855">
        <w:rPr>
          <w:sz w:val="24"/>
          <w:szCs w:val="24"/>
          <w:lang w:val="es-ES"/>
        </w:rPr>
        <w:t xml:space="preserve">y procesamos </w:t>
      </w:r>
      <w:r w:rsidR="00CA2B1D">
        <w:rPr>
          <w:sz w:val="24"/>
          <w:szCs w:val="24"/>
          <w:lang w:val="es-ES"/>
        </w:rPr>
        <w:t xml:space="preserve">los márgenes de solvencia y liquidez </w:t>
      </w:r>
      <w:r w:rsidR="005E71F5">
        <w:rPr>
          <w:sz w:val="24"/>
          <w:szCs w:val="24"/>
          <w:lang w:val="es-ES"/>
        </w:rPr>
        <w:t>mínima</w:t>
      </w:r>
      <w:r w:rsidR="00CA2B1D">
        <w:rPr>
          <w:sz w:val="24"/>
          <w:szCs w:val="24"/>
          <w:lang w:val="es-ES"/>
        </w:rPr>
        <w:t xml:space="preserve"> requerida de las compañías de seguros y reaseguros de la </w:t>
      </w:r>
      <w:r w:rsidR="00723914">
        <w:rPr>
          <w:sz w:val="24"/>
          <w:szCs w:val="24"/>
          <w:lang w:val="es-ES"/>
        </w:rPr>
        <w:t>República</w:t>
      </w:r>
      <w:r w:rsidR="00CA2B1D">
        <w:rPr>
          <w:sz w:val="24"/>
          <w:szCs w:val="24"/>
          <w:lang w:val="es-ES"/>
        </w:rPr>
        <w:t xml:space="preserve"> Dominicana, correspondientes al 31 de diciembre del 2016, 31 de marzo 2017, 30 de junio 2017 y 30 de septiembre 2017</w:t>
      </w:r>
      <w:r w:rsidR="005E71F5">
        <w:rPr>
          <w:sz w:val="24"/>
          <w:szCs w:val="24"/>
          <w:lang w:val="es-ES"/>
        </w:rPr>
        <w:t xml:space="preserve">. </w:t>
      </w:r>
    </w:p>
    <w:p w:rsidR="00202855" w:rsidRDefault="00202855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disp</w:t>
      </w:r>
      <w:r w:rsidR="00FC5F1A">
        <w:rPr>
          <w:sz w:val="24"/>
          <w:szCs w:val="24"/>
          <w:lang w:val="es-ES"/>
        </w:rPr>
        <w:t>uso la realización de veintitrés</w:t>
      </w:r>
      <w:r w:rsidR="002C00AB">
        <w:rPr>
          <w:sz w:val="24"/>
          <w:szCs w:val="24"/>
          <w:lang w:val="es-ES"/>
        </w:rPr>
        <w:t xml:space="preserve"> (23</w:t>
      </w:r>
      <w:r>
        <w:rPr>
          <w:sz w:val="24"/>
          <w:szCs w:val="24"/>
          <w:lang w:val="es-ES"/>
        </w:rPr>
        <w:t>) auditorías a las compañías aseguradoras y/o reasegurad</w:t>
      </w:r>
      <w:r w:rsidR="002C00AB">
        <w:rPr>
          <w:sz w:val="24"/>
          <w:szCs w:val="24"/>
          <w:lang w:val="es-ES"/>
        </w:rPr>
        <w:t>oras de las cuales trece (13)  han finalizado y diez (10</w:t>
      </w:r>
      <w:r>
        <w:rPr>
          <w:sz w:val="24"/>
          <w:szCs w:val="24"/>
          <w:lang w:val="es-ES"/>
        </w:rPr>
        <w:t xml:space="preserve">)  se encuentra en proceso y la realización de </w:t>
      </w:r>
      <w:r w:rsidR="00EC4E6B">
        <w:rPr>
          <w:sz w:val="24"/>
          <w:szCs w:val="24"/>
          <w:lang w:val="es-ES"/>
        </w:rPr>
        <w:t>sesenta y</w:t>
      </w:r>
      <w:r w:rsidR="002C00AB">
        <w:rPr>
          <w:sz w:val="24"/>
          <w:szCs w:val="24"/>
          <w:lang w:val="es-ES"/>
        </w:rPr>
        <w:t xml:space="preserve"> do</w:t>
      </w:r>
      <w:r w:rsidR="00EC4E6B">
        <w:rPr>
          <w:sz w:val="24"/>
          <w:szCs w:val="24"/>
          <w:lang w:val="es-ES"/>
        </w:rPr>
        <w:t>s (62</w:t>
      </w:r>
      <w:r>
        <w:rPr>
          <w:sz w:val="24"/>
          <w:szCs w:val="24"/>
          <w:lang w:val="es-ES"/>
        </w:rPr>
        <w:t>) auditoria a igual número de Corredores de Seguros.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2C00A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Aprobó un total de doce (12</w:t>
      </w:r>
      <w:r w:rsidR="006F1EBB">
        <w:rPr>
          <w:sz w:val="24"/>
          <w:szCs w:val="24"/>
          <w:lang w:val="es-ES"/>
        </w:rPr>
        <w:t>) solicitudes para aumento de capital, cancelaciones, transferencias y suscripciones de acciones.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Impartió </w:t>
      </w:r>
      <w:r w:rsidR="0066429A">
        <w:rPr>
          <w:sz w:val="24"/>
          <w:szCs w:val="24"/>
          <w:lang w:val="es-ES"/>
        </w:rPr>
        <w:t>tres (3</w:t>
      </w:r>
      <w:r w:rsidRPr="00A01361">
        <w:rPr>
          <w:sz w:val="24"/>
          <w:szCs w:val="24"/>
          <w:lang w:val="es-ES"/>
        </w:rPr>
        <w:t xml:space="preserve">) </w:t>
      </w:r>
      <w:r>
        <w:rPr>
          <w:sz w:val="24"/>
          <w:szCs w:val="24"/>
          <w:lang w:val="es-ES"/>
        </w:rPr>
        <w:t xml:space="preserve">eventos de </w:t>
      </w:r>
      <w:r w:rsidRPr="00A01361">
        <w:rPr>
          <w:sz w:val="24"/>
          <w:szCs w:val="24"/>
          <w:lang w:val="es-ES"/>
        </w:rPr>
        <w:t xml:space="preserve">exámenes </w:t>
      </w:r>
      <w:r w:rsidRPr="009A5CF5">
        <w:rPr>
          <w:sz w:val="24"/>
          <w:szCs w:val="24"/>
          <w:lang w:val="es-ES"/>
        </w:rPr>
        <w:t>a</w:t>
      </w:r>
      <w:r w:rsidRPr="00E467C0">
        <w:rPr>
          <w:sz w:val="24"/>
          <w:szCs w:val="24"/>
          <w:lang w:val="es-ES"/>
        </w:rPr>
        <w:t xml:space="preserve"> intermediarios en el área de </w:t>
      </w:r>
      <w:r>
        <w:rPr>
          <w:sz w:val="24"/>
          <w:szCs w:val="24"/>
          <w:lang w:val="es-ES"/>
        </w:rPr>
        <w:t>s</w:t>
      </w:r>
      <w:r w:rsidRPr="00E467C0">
        <w:rPr>
          <w:sz w:val="24"/>
          <w:szCs w:val="24"/>
          <w:lang w:val="es-ES"/>
        </w:rPr>
        <w:t>eguros</w:t>
      </w:r>
      <w:r>
        <w:rPr>
          <w:sz w:val="24"/>
          <w:szCs w:val="24"/>
          <w:lang w:val="es-ES"/>
        </w:rPr>
        <w:t xml:space="preserve"> para un</w:t>
      </w:r>
      <w:r w:rsidR="00FC5F1A">
        <w:rPr>
          <w:sz w:val="24"/>
          <w:szCs w:val="24"/>
          <w:lang w:val="es-ES"/>
        </w:rPr>
        <w:t xml:space="preserve"> total de novecientos treinta y cuatro</w:t>
      </w:r>
      <w:r w:rsidR="0066429A">
        <w:rPr>
          <w:sz w:val="24"/>
          <w:szCs w:val="24"/>
          <w:lang w:val="es-ES"/>
        </w:rPr>
        <w:t xml:space="preserve"> (934</w:t>
      </w:r>
      <w:r>
        <w:rPr>
          <w:sz w:val="24"/>
          <w:szCs w:val="24"/>
          <w:lang w:val="es-ES"/>
        </w:rPr>
        <w:t>)  participantes.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val="es-ES"/>
        </w:rPr>
        <w:t xml:space="preserve">Recibió </w:t>
      </w:r>
      <w:r w:rsidR="00EC4E6B">
        <w:rPr>
          <w:sz w:val="24"/>
          <w:szCs w:val="24"/>
          <w:lang w:eastAsia="es-ES_tradnl"/>
        </w:rPr>
        <w:t>ciento tre</w:t>
      </w:r>
      <w:r w:rsidR="005E3741">
        <w:rPr>
          <w:sz w:val="24"/>
          <w:szCs w:val="24"/>
          <w:lang w:eastAsia="es-ES_tradnl"/>
        </w:rPr>
        <w:t>i</w:t>
      </w:r>
      <w:r w:rsidR="00EC4E6B">
        <w:rPr>
          <w:sz w:val="24"/>
          <w:szCs w:val="24"/>
          <w:lang w:eastAsia="es-ES_tradnl"/>
        </w:rPr>
        <w:t>nta (130</w:t>
      </w:r>
      <w:r>
        <w:rPr>
          <w:sz w:val="24"/>
          <w:szCs w:val="24"/>
          <w:lang w:eastAsia="es-ES_tradnl"/>
        </w:rPr>
        <w:t>) reportes de comisiones recibidas por los corredores de seguros, tramitándose  al departamento correspondiente.</w:t>
      </w:r>
    </w:p>
    <w:p w:rsidR="006F1EBB" w:rsidRDefault="006F1EBB" w:rsidP="0072722B">
      <w:pPr>
        <w:pStyle w:val="Sinespaciado"/>
        <w:ind w:left="720"/>
        <w:jc w:val="both"/>
        <w:rPr>
          <w:rFonts w:ascii="Times New Roman" w:hAnsi="Times New Roman"/>
          <w:sz w:val="24"/>
          <w:szCs w:val="24"/>
          <w:lang w:eastAsia="es-ES_tradnl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eastAsia="es-ES_tradnl"/>
        </w:rPr>
        <w:t>Procedimos al re</w:t>
      </w:r>
      <w:r w:rsidR="00815BEF">
        <w:rPr>
          <w:sz w:val="24"/>
          <w:szCs w:val="24"/>
          <w:lang w:eastAsia="es-ES_tradnl"/>
        </w:rPr>
        <w:t>gistro y autorización de once</w:t>
      </w:r>
      <w:r w:rsidRPr="00007A28">
        <w:rPr>
          <w:sz w:val="24"/>
          <w:szCs w:val="24"/>
          <w:lang w:eastAsia="es-ES_tradnl"/>
        </w:rPr>
        <w:t xml:space="preserve"> (1</w:t>
      </w:r>
      <w:r w:rsidR="00815BEF">
        <w:rPr>
          <w:sz w:val="24"/>
          <w:szCs w:val="24"/>
          <w:lang w:eastAsia="es-ES_tradnl"/>
        </w:rPr>
        <w:t>1</w:t>
      </w:r>
      <w:r w:rsidRPr="00007A28">
        <w:rPr>
          <w:sz w:val="24"/>
          <w:szCs w:val="24"/>
          <w:lang w:eastAsia="es-ES_tradnl"/>
        </w:rPr>
        <w:t>)</w:t>
      </w:r>
      <w:r>
        <w:rPr>
          <w:b/>
          <w:sz w:val="24"/>
          <w:szCs w:val="24"/>
          <w:lang w:eastAsia="es-ES_tradnl"/>
        </w:rPr>
        <w:t xml:space="preserve"> </w:t>
      </w:r>
      <w:r>
        <w:rPr>
          <w:sz w:val="24"/>
          <w:szCs w:val="24"/>
          <w:lang w:eastAsia="es-ES_tradnl"/>
        </w:rPr>
        <w:t>reaseguradores aceptados no radicados y a la actualización</w:t>
      </w:r>
      <w:r w:rsidRPr="00F5543D">
        <w:rPr>
          <w:sz w:val="24"/>
          <w:szCs w:val="24"/>
          <w:lang w:val="es-ES" w:eastAsia="es-ES_tradnl"/>
        </w:rPr>
        <w:t xml:space="preserve"> </w:t>
      </w:r>
      <w:r w:rsidR="00815BEF">
        <w:rPr>
          <w:sz w:val="24"/>
          <w:szCs w:val="24"/>
          <w:lang w:val="es-ES" w:eastAsia="es-ES_tradnl"/>
        </w:rPr>
        <w:t>de cincuenta y cuatro</w:t>
      </w:r>
      <w:r w:rsidRPr="00F55803">
        <w:rPr>
          <w:sz w:val="24"/>
          <w:szCs w:val="24"/>
          <w:lang w:val="es-ES" w:eastAsia="es-ES_tradnl"/>
        </w:rPr>
        <w:t xml:space="preserve"> (</w:t>
      </w:r>
      <w:r w:rsidR="00815BEF">
        <w:rPr>
          <w:sz w:val="24"/>
          <w:szCs w:val="24"/>
          <w:lang w:val="es-ES" w:eastAsia="es-ES_tradnl"/>
        </w:rPr>
        <w:t>54</w:t>
      </w:r>
      <w:r w:rsidRPr="00F5543D">
        <w:rPr>
          <w:b/>
          <w:sz w:val="24"/>
          <w:szCs w:val="24"/>
          <w:lang w:val="es-ES" w:eastAsia="es-ES_tradnl"/>
        </w:rPr>
        <w:t xml:space="preserve">) </w:t>
      </w:r>
      <w:r w:rsidRPr="00F5543D">
        <w:rPr>
          <w:sz w:val="24"/>
          <w:szCs w:val="24"/>
          <w:lang w:val="es-ES" w:eastAsia="es-ES_tradnl"/>
        </w:rPr>
        <w:t>rea</w:t>
      </w:r>
      <w:r>
        <w:rPr>
          <w:sz w:val="24"/>
          <w:szCs w:val="24"/>
          <w:lang w:eastAsia="es-ES_tradnl"/>
        </w:rPr>
        <w:t>seguradores, con el objetivo de realizar operaciones de reaseguros con las compañías cedentes</w:t>
      </w:r>
      <w:r w:rsidR="00815BEF">
        <w:rPr>
          <w:sz w:val="24"/>
          <w:szCs w:val="24"/>
          <w:lang w:eastAsia="es-ES_tradnl"/>
        </w:rPr>
        <w:t>,</w:t>
      </w:r>
      <w:r>
        <w:rPr>
          <w:sz w:val="24"/>
          <w:szCs w:val="24"/>
          <w:lang w:eastAsia="es-ES_tradnl"/>
        </w:rPr>
        <w:t xml:space="preserve"> </w:t>
      </w:r>
      <w:r w:rsidR="00815BEF">
        <w:rPr>
          <w:sz w:val="24"/>
          <w:szCs w:val="24"/>
          <w:lang w:eastAsia="es-ES_tradnl"/>
        </w:rPr>
        <w:t xml:space="preserve">y se recibieron y analizaron los contratos </w:t>
      </w:r>
      <w:r w:rsidR="005E71F5">
        <w:rPr>
          <w:sz w:val="24"/>
          <w:szCs w:val="24"/>
          <w:lang w:eastAsia="es-ES_tradnl"/>
        </w:rPr>
        <w:t>automáticos</w:t>
      </w:r>
      <w:r w:rsidR="00815BEF">
        <w:rPr>
          <w:sz w:val="24"/>
          <w:szCs w:val="24"/>
          <w:lang w:eastAsia="es-ES_tradnl"/>
        </w:rPr>
        <w:t xml:space="preserve"> de reaseguros proporcionales y no proporcionales, con vigencia 2017-2018 de trece (13) compañías de seguros.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La dirección de Recursos Humanos a través de la unidad de capacitación  en cumplimiento a su programa de capacitación </w:t>
      </w:r>
      <w:r w:rsidR="006514C6">
        <w:rPr>
          <w:sz w:val="24"/>
          <w:szCs w:val="24"/>
          <w:lang w:val="es-ES"/>
        </w:rPr>
        <w:t xml:space="preserve">ha impartido </w:t>
      </w:r>
      <w:r w:rsidR="0061405F">
        <w:rPr>
          <w:sz w:val="24"/>
          <w:szCs w:val="24"/>
          <w:lang w:val="es-ES"/>
        </w:rPr>
        <w:t>ciento siete</w:t>
      </w:r>
      <w:r w:rsidR="006514C6">
        <w:rPr>
          <w:sz w:val="24"/>
          <w:szCs w:val="24"/>
          <w:lang w:val="es-ES"/>
        </w:rPr>
        <w:t xml:space="preserve"> (</w:t>
      </w:r>
      <w:r w:rsidR="0061405F">
        <w:rPr>
          <w:sz w:val="24"/>
          <w:szCs w:val="24"/>
          <w:lang w:val="es-ES"/>
        </w:rPr>
        <w:t>107</w:t>
      </w:r>
      <w:r w:rsidR="006514C6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eventos en diferentes áreas, sie</w:t>
      </w:r>
      <w:r w:rsidR="006514C6">
        <w:rPr>
          <w:sz w:val="24"/>
          <w:szCs w:val="24"/>
          <w:lang w:val="es-ES"/>
        </w:rPr>
        <w:t xml:space="preserve">ndo favorecidos un </w:t>
      </w:r>
      <w:r w:rsidR="00FC5F1A">
        <w:rPr>
          <w:sz w:val="24"/>
          <w:szCs w:val="24"/>
          <w:lang w:val="es-ES"/>
        </w:rPr>
        <w:t xml:space="preserve">total de </w:t>
      </w:r>
      <w:r w:rsidR="0061405F">
        <w:rPr>
          <w:sz w:val="24"/>
          <w:szCs w:val="24"/>
          <w:lang w:val="es-ES"/>
        </w:rPr>
        <w:t>dos treinta y uno</w:t>
      </w:r>
      <w:r w:rsidR="00052C36">
        <w:rPr>
          <w:sz w:val="24"/>
          <w:szCs w:val="24"/>
          <w:lang w:val="es-ES"/>
        </w:rPr>
        <w:t xml:space="preserve"> (</w:t>
      </w:r>
      <w:r w:rsidR="0061405F">
        <w:rPr>
          <w:sz w:val="24"/>
          <w:szCs w:val="24"/>
          <w:lang w:val="es-ES"/>
        </w:rPr>
        <w:t>2,031</w:t>
      </w:r>
      <w:r w:rsidR="00052C36">
        <w:rPr>
          <w:sz w:val="24"/>
          <w:szCs w:val="24"/>
          <w:lang w:val="es-ES"/>
        </w:rPr>
        <w:t>) participantes.</w:t>
      </w:r>
    </w:p>
    <w:p w:rsidR="004137BD" w:rsidRPr="00EF35B7" w:rsidRDefault="004137BD" w:rsidP="0072722B">
      <w:pPr>
        <w:spacing w:line="360" w:lineRule="auto"/>
        <w:jc w:val="both"/>
        <w:rPr>
          <w:color w:val="FF0000"/>
          <w:sz w:val="24"/>
          <w:szCs w:val="24"/>
          <w:lang w:val="es-ES"/>
        </w:rPr>
      </w:pPr>
    </w:p>
    <w:p w:rsidR="0051223C" w:rsidRDefault="0051223C" w:rsidP="0072722B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eastAsia="es-ES_tradnl"/>
        </w:rPr>
        <w:t xml:space="preserve">Fue celebrado el </w:t>
      </w:r>
      <w:r w:rsidR="005E71F5">
        <w:rPr>
          <w:sz w:val="24"/>
          <w:szCs w:val="24"/>
          <w:lang w:eastAsia="es-ES_tradnl"/>
        </w:rPr>
        <w:t>día</w:t>
      </w:r>
      <w:r>
        <w:rPr>
          <w:sz w:val="24"/>
          <w:szCs w:val="24"/>
          <w:lang w:eastAsia="es-ES_tradnl"/>
        </w:rPr>
        <w:t xml:space="preserve"> internacional del derecho a saber</w:t>
      </w:r>
      <w:r>
        <w:rPr>
          <w:sz w:val="24"/>
          <w:szCs w:val="24"/>
          <w:lang w:val="es-ES" w:eastAsia="es-ES_tradnl"/>
        </w:rPr>
        <w:t>,  hemos dado continuidad a la lucha contra el</w:t>
      </w:r>
    </w:p>
    <w:p w:rsidR="006F1EBB" w:rsidRDefault="0051223C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 w:eastAsia="es-ES_tradnl"/>
        </w:rPr>
        <w:t xml:space="preserve">Cáncer de mama, </w:t>
      </w:r>
      <w:r w:rsidR="005E71F5">
        <w:rPr>
          <w:sz w:val="24"/>
          <w:szCs w:val="24"/>
          <w:lang w:val="es-ES" w:eastAsia="es-ES_tradnl"/>
        </w:rPr>
        <w:t>así</w:t>
      </w:r>
      <w:r w:rsidR="006F1EBB">
        <w:rPr>
          <w:sz w:val="24"/>
          <w:szCs w:val="24"/>
          <w:lang w:val="es-ES" w:eastAsia="es-ES_tradnl"/>
        </w:rPr>
        <w:t xml:space="preserve"> también la </w:t>
      </w:r>
      <w:r w:rsidR="006F1EBB">
        <w:rPr>
          <w:sz w:val="24"/>
          <w:szCs w:val="24"/>
          <w:lang w:val="es-ES"/>
        </w:rPr>
        <w:t>reincorporación de los empleados al sistema de Empleado Feliz con el Banco de Reservas.</w:t>
      </w:r>
    </w:p>
    <w:p w:rsidR="006F1EBB" w:rsidRDefault="006F1EBB" w:rsidP="0072722B">
      <w:pPr>
        <w:shd w:val="clear" w:color="auto" w:fill="FFFFFF"/>
        <w:spacing w:line="288" w:lineRule="atLeast"/>
        <w:jc w:val="both"/>
        <w:rPr>
          <w:color w:val="222222"/>
          <w:sz w:val="14"/>
          <w:szCs w:val="14"/>
          <w:lang w:val="es-ES"/>
        </w:rPr>
      </w:pPr>
      <w:r w:rsidRPr="00921107">
        <w:rPr>
          <w:color w:val="222222"/>
          <w:sz w:val="14"/>
          <w:szCs w:val="14"/>
          <w:lang w:val="es-ES"/>
        </w:rPr>
        <w:t> </w:t>
      </w:r>
    </w:p>
    <w:p w:rsidR="006F1EBB" w:rsidRDefault="006F1EBB" w:rsidP="0072722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  <w:r>
        <w:rPr>
          <w:color w:val="222222"/>
          <w:sz w:val="24"/>
          <w:szCs w:val="24"/>
          <w:lang w:val="es-ES"/>
        </w:rPr>
        <w:t>Se</w:t>
      </w:r>
      <w:r w:rsidRPr="00921107">
        <w:rPr>
          <w:color w:val="222222"/>
          <w:sz w:val="24"/>
          <w:szCs w:val="24"/>
          <w:lang w:val="es-ES"/>
        </w:rPr>
        <w:t xml:space="preserve"> </w:t>
      </w:r>
      <w:r>
        <w:rPr>
          <w:color w:val="222222"/>
          <w:sz w:val="24"/>
          <w:szCs w:val="24"/>
          <w:lang w:val="es-ES"/>
        </w:rPr>
        <w:t>siguió  e</w:t>
      </w:r>
      <w:r w:rsidRPr="00921107">
        <w:rPr>
          <w:color w:val="222222"/>
          <w:sz w:val="24"/>
          <w:szCs w:val="24"/>
          <w:lang w:val="es-ES"/>
        </w:rPr>
        <w:t xml:space="preserve">l proceso de compras de bienes y servicios, siendo más eficiente y transparente debido a la implementación del sistema de información financiera del </w:t>
      </w:r>
      <w:r w:rsidR="0092414D">
        <w:rPr>
          <w:color w:val="222222"/>
          <w:sz w:val="24"/>
          <w:szCs w:val="24"/>
          <w:lang w:val="es-ES"/>
        </w:rPr>
        <w:t>E</w:t>
      </w:r>
      <w:r w:rsidRPr="00921107">
        <w:rPr>
          <w:color w:val="222222"/>
          <w:sz w:val="24"/>
          <w:szCs w:val="24"/>
          <w:lang w:val="es-ES"/>
        </w:rPr>
        <w:t>stado (SIGEF)</w:t>
      </w:r>
      <w:r>
        <w:rPr>
          <w:color w:val="222222"/>
          <w:sz w:val="24"/>
          <w:szCs w:val="24"/>
          <w:lang w:val="es-ES"/>
        </w:rPr>
        <w:t>.</w:t>
      </w:r>
    </w:p>
    <w:p w:rsidR="006F1EBB" w:rsidRDefault="006F1EBB" w:rsidP="0072722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</w:p>
    <w:p w:rsidR="006F1EBB" w:rsidRPr="00921107" w:rsidRDefault="006F1EBB" w:rsidP="0072722B">
      <w:pPr>
        <w:shd w:val="clear" w:color="auto" w:fill="FFFFFF"/>
        <w:spacing w:line="360" w:lineRule="auto"/>
        <w:jc w:val="both"/>
        <w:rPr>
          <w:color w:val="222222"/>
          <w:sz w:val="19"/>
          <w:szCs w:val="19"/>
          <w:lang w:val="es-ES"/>
        </w:rPr>
      </w:pPr>
      <w:r w:rsidRPr="00921107">
        <w:rPr>
          <w:color w:val="222222"/>
          <w:sz w:val="14"/>
          <w:szCs w:val="14"/>
          <w:lang w:val="es-ES"/>
        </w:rPr>
        <w:t> </w:t>
      </w:r>
      <w:r>
        <w:rPr>
          <w:color w:val="222222"/>
          <w:sz w:val="24"/>
          <w:szCs w:val="24"/>
          <w:lang w:val="es-ES"/>
        </w:rPr>
        <w:t xml:space="preserve">Se procedió a la renovación </w:t>
      </w:r>
      <w:r w:rsidRPr="00921107">
        <w:rPr>
          <w:color w:val="222222"/>
          <w:sz w:val="24"/>
          <w:szCs w:val="24"/>
          <w:lang w:val="es-ES"/>
        </w:rPr>
        <w:t>de</w:t>
      </w:r>
      <w:r>
        <w:rPr>
          <w:color w:val="222222"/>
          <w:sz w:val="24"/>
          <w:szCs w:val="24"/>
          <w:lang w:val="es-ES"/>
        </w:rPr>
        <w:t xml:space="preserve"> los </w:t>
      </w:r>
      <w:r w:rsidRPr="00921107">
        <w:rPr>
          <w:color w:val="222222"/>
          <w:sz w:val="24"/>
          <w:szCs w:val="24"/>
          <w:lang w:val="es-ES"/>
        </w:rPr>
        <w:t>contratos de diferentes empresas que prestan servicios</w:t>
      </w:r>
      <w:r>
        <w:rPr>
          <w:color w:val="222222"/>
          <w:sz w:val="24"/>
          <w:szCs w:val="24"/>
          <w:lang w:val="es-ES"/>
        </w:rPr>
        <w:t xml:space="preserve"> a la superintendencia.</w:t>
      </w:r>
    </w:p>
    <w:p w:rsidR="006F1EBB" w:rsidRDefault="006F1EBB" w:rsidP="0072722B">
      <w:pPr>
        <w:shd w:val="clear" w:color="auto" w:fill="FFFFFF"/>
        <w:spacing w:line="36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24"/>
          <w:szCs w:val="24"/>
          <w:lang w:val="es-ES"/>
        </w:rPr>
        <w:t xml:space="preserve"> </w:t>
      </w:r>
    </w:p>
    <w:p w:rsidR="006F1EBB" w:rsidRDefault="006F1EBB" w:rsidP="0072722B">
      <w:pPr>
        <w:shd w:val="clear" w:color="auto" w:fill="FFFFFF"/>
        <w:spacing w:line="360" w:lineRule="auto"/>
        <w:jc w:val="both"/>
        <w:rPr>
          <w:color w:val="222222"/>
          <w:sz w:val="24"/>
          <w:szCs w:val="24"/>
          <w:lang w:val="es-ES"/>
        </w:rPr>
      </w:pPr>
      <w:r w:rsidRPr="00921107">
        <w:rPr>
          <w:color w:val="222222"/>
          <w:sz w:val="24"/>
          <w:szCs w:val="24"/>
          <w:lang w:val="es-ES"/>
        </w:rPr>
        <w:t>La sección de suministro ha implementado un nuevo sistema operativo el cual ha logrado actualizar el programa de inventarios, pudiendo suplir las necesidades de cada departamento a la mayor brevedad</w:t>
      </w:r>
      <w:r>
        <w:rPr>
          <w:color w:val="222222"/>
          <w:sz w:val="24"/>
          <w:szCs w:val="24"/>
          <w:lang w:val="es-ES"/>
        </w:rPr>
        <w:t xml:space="preserve"> así como también se mantuvo la vigilancia a las oficinas</w:t>
      </w:r>
      <w:r w:rsidRPr="00921107">
        <w:rPr>
          <w:color w:val="222222"/>
          <w:sz w:val="24"/>
          <w:szCs w:val="24"/>
          <w:lang w:val="es-ES"/>
        </w:rPr>
        <w:t>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6F1EBB" w:rsidRPr="00D024E1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 w:rsidRPr="00D024E1">
        <w:rPr>
          <w:sz w:val="24"/>
          <w:szCs w:val="24"/>
          <w:lang w:val="es-ES" w:eastAsia="es-ES_tradnl"/>
        </w:rPr>
        <w:t>Se continuo el proceso de liquidación forzosa y de autoliquidación de dieci</w:t>
      </w:r>
      <w:r w:rsidR="00D024E1">
        <w:rPr>
          <w:sz w:val="24"/>
          <w:szCs w:val="24"/>
          <w:lang w:val="es-ES" w:eastAsia="es-ES_tradnl"/>
        </w:rPr>
        <w:t>ocho</w:t>
      </w:r>
      <w:r w:rsidRPr="00D024E1">
        <w:rPr>
          <w:sz w:val="24"/>
          <w:szCs w:val="24"/>
          <w:lang w:val="es-ES" w:eastAsia="es-ES_tradnl"/>
        </w:rPr>
        <w:t xml:space="preserve"> (1</w:t>
      </w:r>
      <w:r w:rsidR="00D024E1">
        <w:rPr>
          <w:sz w:val="24"/>
          <w:szCs w:val="24"/>
          <w:lang w:val="es-ES" w:eastAsia="es-ES_tradnl"/>
        </w:rPr>
        <w:t>8</w:t>
      </w:r>
      <w:r w:rsidRPr="00D024E1">
        <w:rPr>
          <w:sz w:val="24"/>
          <w:szCs w:val="24"/>
          <w:lang w:val="es-ES" w:eastAsia="es-ES_tradnl"/>
        </w:rPr>
        <w:t xml:space="preserve">) compañías de seguros de las cuales </w:t>
      </w:r>
      <w:r w:rsidR="00D024E1">
        <w:rPr>
          <w:sz w:val="24"/>
          <w:szCs w:val="24"/>
          <w:lang w:val="es-ES" w:eastAsia="es-ES_tradnl"/>
        </w:rPr>
        <w:t xml:space="preserve">quince </w:t>
      </w:r>
      <w:r w:rsidRPr="00D024E1">
        <w:rPr>
          <w:sz w:val="24"/>
          <w:szCs w:val="24"/>
          <w:lang w:val="es-ES" w:eastAsia="es-ES_tradnl"/>
        </w:rPr>
        <w:t>son forzosa y tres de autoliquidación, realizando pagos a reclamantes de primas no consumidas por un monto de</w:t>
      </w:r>
      <w:r w:rsidRPr="00D024E1">
        <w:rPr>
          <w:sz w:val="24"/>
          <w:szCs w:val="24"/>
          <w:lang w:val="es-ES"/>
        </w:rPr>
        <w:t xml:space="preserve"> RD$</w:t>
      </w:r>
      <w:r w:rsidR="000412F3">
        <w:rPr>
          <w:sz w:val="24"/>
          <w:szCs w:val="24"/>
          <w:lang w:val="es-ES"/>
        </w:rPr>
        <w:t>1</w:t>
      </w:r>
      <w:r w:rsidRPr="00D024E1">
        <w:rPr>
          <w:sz w:val="24"/>
          <w:szCs w:val="24"/>
          <w:lang w:val="es-ES"/>
        </w:rPr>
        <w:t>,</w:t>
      </w:r>
      <w:r w:rsidR="000412F3">
        <w:rPr>
          <w:sz w:val="24"/>
          <w:szCs w:val="24"/>
          <w:lang w:val="es-ES"/>
        </w:rPr>
        <w:t>540</w:t>
      </w:r>
      <w:r w:rsidRPr="00D024E1">
        <w:rPr>
          <w:sz w:val="24"/>
          <w:szCs w:val="24"/>
          <w:lang w:val="es-ES"/>
        </w:rPr>
        <w:t>,</w:t>
      </w:r>
      <w:r w:rsidR="000412F3">
        <w:rPr>
          <w:sz w:val="24"/>
          <w:szCs w:val="24"/>
          <w:lang w:val="es-ES"/>
        </w:rPr>
        <w:t>895</w:t>
      </w:r>
      <w:r w:rsidRPr="00D024E1">
        <w:rPr>
          <w:sz w:val="24"/>
          <w:szCs w:val="24"/>
          <w:lang w:val="es-ES"/>
        </w:rPr>
        <w:t>.</w:t>
      </w:r>
      <w:r w:rsidR="000412F3">
        <w:rPr>
          <w:sz w:val="24"/>
          <w:szCs w:val="24"/>
          <w:lang w:val="es-ES"/>
        </w:rPr>
        <w:t>30</w:t>
      </w:r>
      <w:r w:rsidRPr="00D024E1">
        <w:rPr>
          <w:sz w:val="24"/>
          <w:szCs w:val="24"/>
          <w:lang w:val="es-ES"/>
        </w:rPr>
        <w:t xml:space="preserve"> (</w:t>
      </w:r>
      <w:r w:rsidR="000412F3">
        <w:rPr>
          <w:sz w:val="24"/>
          <w:szCs w:val="24"/>
          <w:lang w:val="es-ES"/>
        </w:rPr>
        <w:t>un millón quinientos ochocientos noventa y cinco 3</w:t>
      </w:r>
      <w:r w:rsidRPr="00D024E1">
        <w:rPr>
          <w:sz w:val="24"/>
          <w:szCs w:val="24"/>
          <w:lang w:val="es-ES"/>
        </w:rPr>
        <w:t>0/100),</w:t>
      </w:r>
      <w:r w:rsidRPr="00D024E1">
        <w:rPr>
          <w:b/>
          <w:sz w:val="24"/>
          <w:szCs w:val="24"/>
          <w:lang w:val="es-ES"/>
        </w:rPr>
        <w:t xml:space="preserve"> </w:t>
      </w:r>
      <w:r w:rsidRPr="00D024E1">
        <w:rPr>
          <w:sz w:val="24"/>
          <w:szCs w:val="24"/>
          <w:lang w:val="es-ES"/>
        </w:rPr>
        <w:t xml:space="preserve">para un total de </w:t>
      </w:r>
      <w:r w:rsidR="000412F3">
        <w:rPr>
          <w:sz w:val="24"/>
          <w:szCs w:val="24"/>
          <w:lang w:val="es-ES"/>
        </w:rPr>
        <w:t>cuatrocientos treinta y ocho</w:t>
      </w:r>
      <w:r w:rsidRPr="00D024E1">
        <w:rPr>
          <w:sz w:val="24"/>
          <w:szCs w:val="24"/>
          <w:lang w:val="es-ES"/>
        </w:rPr>
        <w:t xml:space="preserve"> (</w:t>
      </w:r>
      <w:r w:rsidR="000412F3">
        <w:rPr>
          <w:sz w:val="24"/>
          <w:szCs w:val="24"/>
          <w:lang w:val="es-ES"/>
        </w:rPr>
        <w:t>438</w:t>
      </w:r>
      <w:r w:rsidRPr="00D024E1">
        <w:rPr>
          <w:sz w:val="24"/>
          <w:szCs w:val="24"/>
          <w:lang w:val="es-ES"/>
        </w:rPr>
        <w:t>) reclamantes, y también fue intervenida administrativamente Seguros Constitución</w:t>
      </w:r>
      <w:r w:rsidR="00E528C0" w:rsidRPr="00D024E1">
        <w:rPr>
          <w:sz w:val="24"/>
          <w:szCs w:val="24"/>
          <w:lang w:val="es-ES"/>
        </w:rPr>
        <w:t xml:space="preserve"> S</w:t>
      </w:r>
      <w:r w:rsidRPr="00D024E1">
        <w:rPr>
          <w:sz w:val="24"/>
          <w:szCs w:val="24"/>
          <w:lang w:val="es-ES"/>
        </w:rPr>
        <w:t>.</w:t>
      </w:r>
      <w:r w:rsidR="00E528C0" w:rsidRPr="00D024E1">
        <w:rPr>
          <w:sz w:val="24"/>
          <w:szCs w:val="24"/>
          <w:lang w:val="es-ES"/>
        </w:rPr>
        <w:t>A.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F11997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Hemos trabajado en el mantenimiento de los sistemas informáticos de la institución, en la elaboración de reportes </w:t>
      </w:r>
      <w:r w:rsidR="00506784">
        <w:rPr>
          <w:sz w:val="24"/>
          <w:szCs w:val="24"/>
          <w:lang w:val="es-ES"/>
        </w:rPr>
        <w:t xml:space="preserve">solicitados </w:t>
      </w:r>
      <w:r>
        <w:rPr>
          <w:sz w:val="24"/>
          <w:szCs w:val="24"/>
          <w:lang w:val="es-ES"/>
        </w:rPr>
        <w:t xml:space="preserve">por los usuarios interesados, entrenamientos a usuarios en diferentes sistemas, soporte a las compañías aseguradoras y reaseguradoras, análisis diseño </w:t>
      </w:r>
      <w:r w:rsidR="00F11997">
        <w:rPr>
          <w:sz w:val="24"/>
          <w:szCs w:val="24"/>
          <w:lang w:val="es-ES"/>
        </w:rPr>
        <w:t>y actualización del sistema de suministros, sustitución de los sistemas de Recursos Humanos, N</w:t>
      </w:r>
      <w:r w:rsidR="00F64EEF">
        <w:rPr>
          <w:sz w:val="24"/>
          <w:szCs w:val="24"/>
          <w:lang w:val="es-ES"/>
        </w:rPr>
        <w:t>ó</w:t>
      </w:r>
      <w:r w:rsidR="00F11997">
        <w:rPr>
          <w:sz w:val="24"/>
          <w:szCs w:val="24"/>
          <w:lang w:val="es-ES"/>
        </w:rPr>
        <w:t xml:space="preserve">mina y Seguros Medico, así como la  </w:t>
      </w:r>
      <w:r w:rsidR="005E71F5">
        <w:rPr>
          <w:sz w:val="24"/>
          <w:szCs w:val="24"/>
          <w:lang w:val="es-ES"/>
        </w:rPr>
        <w:t>Certificación</w:t>
      </w:r>
      <w:r w:rsidR="00F11997">
        <w:rPr>
          <w:sz w:val="24"/>
          <w:szCs w:val="24"/>
          <w:lang w:val="es-ES"/>
        </w:rPr>
        <w:t xml:space="preserve"> del Portal Institucional.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oficina de libre acceso a la informaci</w:t>
      </w:r>
      <w:r w:rsidR="00260A6F">
        <w:rPr>
          <w:sz w:val="24"/>
          <w:szCs w:val="24"/>
          <w:lang w:val="es-ES"/>
        </w:rPr>
        <w:t>ón recibió un total de veintiochos (28</w:t>
      </w:r>
      <w:r>
        <w:rPr>
          <w:sz w:val="24"/>
          <w:szCs w:val="24"/>
          <w:lang w:val="es-ES"/>
        </w:rPr>
        <w:t xml:space="preserve">) solicitudes de información y </w:t>
      </w:r>
      <w:r w:rsidR="00F64EEF">
        <w:rPr>
          <w:sz w:val="24"/>
          <w:szCs w:val="24"/>
          <w:lang w:val="es-ES"/>
        </w:rPr>
        <w:t>doce (</w:t>
      </w:r>
      <w:r>
        <w:rPr>
          <w:sz w:val="24"/>
          <w:szCs w:val="24"/>
          <w:lang w:val="es-ES"/>
        </w:rPr>
        <w:t>1</w:t>
      </w:r>
      <w:r w:rsidR="00F64EEF">
        <w:rPr>
          <w:sz w:val="24"/>
          <w:szCs w:val="24"/>
          <w:lang w:val="es-ES"/>
        </w:rPr>
        <w:t>2)</w:t>
      </w:r>
      <w:r>
        <w:rPr>
          <w:sz w:val="24"/>
          <w:szCs w:val="24"/>
          <w:lang w:val="es-ES"/>
        </w:rPr>
        <w:t xml:space="preserve"> denuncias, quejas y/o sugerencia, integrados a la línea 311, que maneja la oficina Presidencial de Tecnología de la Información y comunicación (OTTIC) </w:t>
      </w:r>
      <w:r w:rsidRPr="000676A3">
        <w:rPr>
          <w:sz w:val="24"/>
          <w:szCs w:val="24"/>
          <w:lang w:val="es-ES"/>
        </w:rPr>
        <w:t xml:space="preserve">y actualizado el sub-portal de transparencia, a lo fines de que los usuarios puedan visualizar y fiscalizar la labor de la </w:t>
      </w:r>
      <w:r>
        <w:rPr>
          <w:sz w:val="24"/>
          <w:szCs w:val="24"/>
          <w:lang w:val="es-ES"/>
        </w:rPr>
        <w:t>entidad.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F1EBB" w:rsidRDefault="006F1EBB" w:rsidP="0072722B">
      <w:pPr>
        <w:spacing w:line="360" w:lineRule="auto"/>
        <w:jc w:val="both"/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Creación de</w:t>
      </w:r>
      <w:r w:rsidR="00F64EEF">
        <w:rPr>
          <w:sz w:val="24"/>
          <w:szCs w:val="24"/>
          <w:lang w:val="es-ES"/>
        </w:rPr>
        <w:t xml:space="preserve">l Departamento </w:t>
      </w:r>
      <w:r>
        <w:rPr>
          <w:sz w:val="24"/>
          <w:szCs w:val="24"/>
          <w:lang w:val="es-ES"/>
        </w:rPr>
        <w:t xml:space="preserve">de </w:t>
      </w:r>
      <w:r w:rsidR="00F64EEF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 xml:space="preserve">revención del </w:t>
      </w:r>
      <w:r w:rsidR="00F64EEF">
        <w:rPr>
          <w:sz w:val="24"/>
          <w:szCs w:val="24"/>
          <w:lang w:val="es-ES"/>
        </w:rPr>
        <w:t>L</w:t>
      </w:r>
      <w:r>
        <w:rPr>
          <w:sz w:val="24"/>
          <w:szCs w:val="24"/>
          <w:lang w:val="es-ES"/>
        </w:rPr>
        <w:t xml:space="preserve">avado de </w:t>
      </w:r>
      <w:r w:rsidR="00F64EEF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ctivos de la Superintendencia de Seguros.</w:t>
      </w:r>
    </w:p>
    <w:p w:rsidR="006F1EBB" w:rsidRDefault="006F1EBB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E6FDB" w:rsidRPr="006F1EBB" w:rsidRDefault="006F1EBB" w:rsidP="00F64EEF">
      <w:pPr>
        <w:spacing w:line="360" w:lineRule="auto"/>
        <w:jc w:val="both"/>
        <w:rPr>
          <w:sz w:val="44"/>
          <w:szCs w:val="44"/>
          <w:lang w:val="es-ES"/>
        </w:rPr>
      </w:pPr>
      <w:r w:rsidRPr="00AD6F07">
        <w:rPr>
          <w:sz w:val="24"/>
          <w:szCs w:val="24"/>
          <w:lang w:val="es-ES"/>
        </w:rPr>
        <w:t xml:space="preserve">Fue elaborado el  Plan </w:t>
      </w:r>
      <w:r w:rsidR="00F64EEF">
        <w:rPr>
          <w:sz w:val="24"/>
          <w:szCs w:val="24"/>
          <w:lang w:val="es-ES"/>
        </w:rPr>
        <w:t>Operativo y el Plan Anual de Compras y Contrataciones</w:t>
      </w:r>
      <w:r w:rsidR="00496F29">
        <w:rPr>
          <w:sz w:val="24"/>
          <w:szCs w:val="24"/>
          <w:lang w:val="es-ES"/>
        </w:rPr>
        <w:t xml:space="preserve"> para el</w:t>
      </w:r>
      <w:r w:rsidR="00F64EEF">
        <w:rPr>
          <w:sz w:val="24"/>
          <w:szCs w:val="24"/>
          <w:lang w:val="es-ES"/>
        </w:rPr>
        <w:t xml:space="preserve"> p</w:t>
      </w:r>
      <w:r w:rsidR="00F64EEF" w:rsidRPr="00AD6F07">
        <w:rPr>
          <w:sz w:val="24"/>
          <w:szCs w:val="24"/>
          <w:lang w:val="es-ES"/>
        </w:rPr>
        <w:t>eriodo  2017</w:t>
      </w:r>
      <w:r w:rsidR="00F64EEF">
        <w:rPr>
          <w:sz w:val="24"/>
          <w:szCs w:val="24"/>
          <w:lang w:val="es-ES"/>
        </w:rPr>
        <w:t xml:space="preserve"> y 2018 así como también el diagnostico de la estructura orgánica de la Superintendencia.</w:t>
      </w:r>
    </w:p>
    <w:p w:rsidR="007406B3" w:rsidRDefault="007406B3" w:rsidP="009F232C">
      <w:pPr>
        <w:spacing w:line="360" w:lineRule="auto"/>
        <w:rPr>
          <w:b/>
          <w:sz w:val="24"/>
          <w:szCs w:val="24"/>
          <w:lang w:val="es-ES"/>
        </w:rPr>
      </w:pPr>
    </w:p>
    <w:p w:rsidR="00072B48" w:rsidRDefault="00072B48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4F31E9" w:rsidRDefault="004F31E9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</w:p>
    <w:p w:rsidR="00B5235A" w:rsidRPr="00E467C0" w:rsidRDefault="007F6DE9" w:rsidP="005C4FD0">
      <w:pPr>
        <w:spacing w:line="360" w:lineRule="auto"/>
        <w:jc w:val="center"/>
        <w:outlineLvl w:val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MEMORIA ANUAL</w:t>
      </w:r>
      <w:r w:rsidR="00B5235A" w:rsidRPr="00E467C0">
        <w:rPr>
          <w:b/>
          <w:sz w:val="24"/>
          <w:szCs w:val="24"/>
          <w:lang w:val="es-ES"/>
        </w:rPr>
        <w:t xml:space="preserve">  DE LAS ACTIVIDADES MÁS RELEVANTES </w:t>
      </w:r>
    </w:p>
    <w:p w:rsidR="00B5235A" w:rsidRPr="00E467C0" w:rsidRDefault="00B5235A" w:rsidP="00B5235A">
      <w:pPr>
        <w:spacing w:line="360" w:lineRule="auto"/>
        <w:jc w:val="center"/>
        <w:rPr>
          <w:b/>
          <w:sz w:val="24"/>
          <w:szCs w:val="24"/>
          <w:lang w:val="es-ES"/>
        </w:rPr>
      </w:pPr>
      <w:r w:rsidRPr="00E467C0">
        <w:rPr>
          <w:b/>
          <w:sz w:val="24"/>
          <w:szCs w:val="24"/>
          <w:lang w:val="es-ES"/>
        </w:rPr>
        <w:t xml:space="preserve">DE LA </w:t>
      </w:r>
      <w:r w:rsidR="00774A3C">
        <w:rPr>
          <w:b/>
          <w:sz w:val="24"/>
          <w:szCs w:val="24"/>
          <w:lang w:val="es-ES"/>
        </w:rPr>
        <w:t>SUPERINTENDENCIA</w:t>
      </w:r>
      <w:r w:rsidRPr="00E467C0">
        <w:rPr>
          <w:b/>
          <w:sz w:val="24"/>
          <w:szCs w:val="24"/>
          <w:lang w:val="es-ES"/>
        </w:rPr>
        <w:t xml:space="preserve"> DURANTE EL PER</w:t>
      </w:r>
      <w:r w:rsidR="00A7754C" w:rsidRPr="00E467C0">
        <w:rPr>
          <w:b/>
          <w:sz w:val="24"/>
          <w:szCs w:val="24"/>
          <w:lang w:val="es-ES"/>
        </w:rPr>
        <w:t>Í</w:t>
      </w:r>
      <w:r w:rsidR="009F03F0">
        <w:rPr>
          <w:b/>
          <w:sz w:val="24"/>
          <w:szCs w:val="24"/>
          <w:lang w:val="es-ES"/>
        </w:rPr>
        <w:t xml:space="preserve">ODO </w:t>
      </w:r>
      <w:r w:rsidR="00BF5069">
        <w:rPr>
          <w:b/>
          <w:sz w:val="24"/>
          <w:szCs w:val="24"/>
          <w:lang w:val="es-ES"/>
        </w:rPr>
        <w:t>ENERO-</w:t>
      </w:r>
      <w:r w:rsidR="009F03F0">
        <w:rPr>
          <w:b/>
          <w:sz w:val="24"/>
          <w:szCs w:val="24"/>
          <w:lang w:val="es-ES"/>
        </w:rPr>
        <w:t>DICIEMBRE</w:t>
      </w:r>
      <w:r w:rsidRPr="00E467C0">
        <w:rPr>
          <w:b/>
          <w:sz w:val="24"/>
          <w:szCs w:val="24"/>
          <w:lang w:val="es-ES"/>
        </w:rPr>
        <w:t xml:space="preserve"> </w:t>
      </w:r>
      <w:r w:rsidR="009A5AEB" w:rsidRPr="00E467C0">
        <w:rPr>
          <w:b/>
          <w:sz w:val="24"/>
          <w:szCs w:val="24"/>
          <w:lang w:val="es-ES"/>
        </w:rPr>
        <w:t>201</w:t>
      </w:r>
      <w:r w:rsidR="004F3B47">
        <w:rPr>
          <w:b/>
          <w:sz w:val="24"/>
          <w:szCs w:val="24"/>
          <w:lang w:val="es-ES"/>
        </w:rPr>
        <w:t>7</w:t>
      </w:r>
    </w:p>
    <w:p w:rsidR="00C30B2D" w:rsidRPr="00E467C0" w:rsidRDefault="00C30B2D" w:rsidP="00B5235A">
      <w:pPr>
        <w:spacing w:line="360" w:lineRule="auto"/>
        <w:jc w:val="center"/>
        <w:rPr>
          <w:b/>
          <w:color w:val="FF0000"/>
          <w:sz w:val="24"/>
          <w:szCs w:val="24"/>
          <w:lang w:val="es-ES"/>
        </w:rPr>
      </w:pPr>
    </w:p>
    <w:p w:rsidR="00725B93" w:rsidRPr="00E467C0" w:rsidRDefault="008A7B22" w:rsidP="0072722B">
      <w:pPr>
        <w:spacing w:line="360" w:lineRule="auto"/>
        <w:jc w:val="both"/>
        <w:rPr>
          <w:color w:val="000000"/>
          <w:sz w:val="24"/>
          <w:szCs w:val="24"/>
          <w:lang w:val="es-ES"/>
        </w:rPr>
      </w:pPr>
      <w:r w:rsidRPr="00E467C0">
        <w:rPr>
          <w:color w:val="000000"/>
          <w:sz w:val="24"/>
          <w:szCs w:val="24"/>
          <w:lang w:val="es-ES"/>
        </w:rPr>
        <w:t>La Superintendencia de Seguros</w:t>
      </w:r>
      <w:r w:rsidR="007042B9">
        <w:rPr>
          <w:color w:val="000000"/>
          <w:sz w:val="24"/>
          <w:szCs w:val="24"/>
          <w:lang w:val="es-ES"/>
        </w:rPr>
        <w:t xml:space="preserve"> </w:t>
      </w:r>
      <w:r w:rsidR="0018148B" w:rsidRPr="00E467C0">
        <w:rPr>
          <w:color w:val="000000"/>
          <w:sz w:val="24"/>
          <w:szCs w:val="24"/>
          <w:lang w:val="es-ES"/>
        </w:rPr>
        <w:t xml:space="preserve">a través de la aplicación </w:t>
      </w:r>
      <w:r w:rsidR="0080549B" w:rsidRPr="00E467C0">
        <w:rPr>
          <w:color w:val="000000"/>
          <w:sz w:val="24"/>
          <w:szCs w:val="24"/>
          <w:lang w:val="es-ES"/>
        </w:rPr>
        <w:t xml:space="preserve">de </w:t>
      </w:r>
      <w:r w:rsidR="00DE0D6F" w:rsidRPr="00E467C0">
        <w:rPr>
          <w:color w:val="000000"/>
          <w:sz w:val="24"/>
          <w:szCs w:val="24"/>
          <w:lang w:val="es-ES"/>
        </w:rPr>
        <w:t>la Ley</w:t>
      </w:r>
      <w:r w:rsidR="004F31E9">
        <w:rPr>
          <w:color w:val="000000"/>
          <w:sz w:val="24"/>
          <w:szCs w:val="24"/>
          <w:lang w:val="es-ES"/>
        </w:rPr>
        <w:t xml:space="preserve"> No.</w:t>
      </w:r>
      <w:r w:rsidR="00DE0D6F" w:rsidRPr="00E467C0">
        <w:rPr>
          <w:color w:val="000000"/>
          <w:sz w:val="24"/>
          <w:szCs w:val="24"/>
          <w:lang w:val="es-ES"/>
        </w:rPr>
        <w:t xml:space="preserve"> 146-02</w:t>
      </w:r>
      <w:r w:rsidR="0018148B" w:rsidRPr="00E467C0">
        <w:rPr>
          <w:color w:val="000000"/>
          <w:sz w:val="24"/>
          <w:szCs w:val="24"/>
          <w:lang w:val="es-ES"/>
        </w:rPr>
        <w:t xml:space="preserve"> sobre </w:t>
      </w:r>
      <w:r w:rsidR="0018148B" w:rsidRPr="004F31E9">
        <w:rPr>
          <w:color w:val="000000"/>
          <w:sz w:val="24"/>
          <w:szCs w:val="24"/>
          <w:lang w:val="es-ES"/>
        </w:rPr>
        <w:t>Seguros y Fianzas</w:t>
      </w:r>
      <w:r w:rsidR="005D328C" w:rsidRPr="00E467C0">
        <w:rPr>
          <w:color w:val="000000"/>
          <w:sz w:val="24"/>
          <w:szCs w:val="24"/>
          <w:lang w:val="es-ES"/>
        </w:rPr>
        <w:t xml:space="preserve"> </w:t>
      </w:r>
      <w:r w:rsidR="0018148B" w:rsidRPr="00E467C0">
        <w:rPr>
          <w:color w:val="000000"/>
          <w:sz w:val="24"/>
          <w:szCs w:val="24"/>
          <w:lang w:val="es-ES"/>
        </w:rPr>
        <w:t xml:space="preserve">de la República Dominicana, </w:t>
      </w:r>
      <w:r w:rsidR="007042B9">
        <w:rPr>
          <w:color w:val="000000"/>
          <w:sz w:val="24"/>
          <w:szCs w:val="24"/>
          <w:lang w:val="es-ES"/>
        </w:rPr>
        <w:t xml:space="preserve">desarrollo </w:t>
      </w:r>
      <w:r w:rsidR="0020236D">
        <w:rPr>
          <w:color w:val="000000"/>
          <w:sz w:val="24"/>
          <w:szCs w:val="24"/>
          <w:lang w:val="es-ES"/>
        </w:rPr>
        <w:t>las siguientes actividades</w:t>
      </w:r>
      <w:r w:rsidR="00F6122E">
        <w:rPr>
          <w:color w:val="000000"/>
          <w:sz w:val="24"/>
          <w:szCs w:val="24"/>
          <w:lang w:val="es-ES"/>
        </w:rPr>
        <w:t xml:space="preserve"> y hechos</w:t>
      </w:r>
      <w:r w:rsidR="0018148B" w:rsidRPr="00E467C0">
        <w:rPr>
          <w:color w:val="000000"/>
          <w:sz w:val="24"/>
          <w:szCs w:val="24"/>
          <w:lang w:val="es-ES"/>
        </w:rPr>
        <w:t xml:space="preserve"> más relevantes</w:t>
      </w:r>
      <w:r w:rsidR="00444BCC" w:rsidRPr="00E467C0">
        <w:rPr>
          <w:color w:val="000000"/>
          <w:sz w:val="24"/>
          <w:szCs w:val="24"/>
          <w:lang w:val="es-ES"/>
        </w:rPr>
        <w:t>:</w:t>
      </w:r>
    </w:p>
    <w:p w:rsidR="00725B93" w:rsidRDefault="00725B93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55DD3" w:rsidRPr="00431A8D" w:rsidRDefault="00B55DD3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disp</w:t>
      </w:r>
      <w:r w:rsidR="002C00AB">
        <w:rPr>
          <w:sz w:val="24"/>
          <w:szCs w:val="24"/>
          <w:lang w:val="es-ES"/>
        </w:rPr>
        <w:t xml:space="preserve">uso la </w:t>
      </w:r>
      <w:r w:rsidR="00FC5F1A">
        <w:rPr>
          <w:sz w:val="24"/>
          <w:szCs w:val="24"/>
          <w:lang w:val="es-ES"/>
        </w:rPr>
        <w:t xml:space="preserve">realización de </w:t>
      </w:r>
      <w:r w:rsidR="004A41B3">
        <w:rPr>
          <w:sz w:val="24"/>
          <w:szCs w:val="24"/>
          <w:lang w:val="es-ES"/>
        </w:rPr>
        <w:t>veintitrés</w:t>
      </w:r>
      <w:r w:rsidR="002C00AB">
        <w:rPr>
          <w:sz w:val="24"/>
          <w:szCs w:val="24"/>
          <w:lang w:val="es-ES"/>
        </w:rPr>
        <w:t xml:space="preserve"> (23</w:t>
      </w:r>
      <w:r>
        <w:rPr>
          <w:sz w:val="24"/>
          <w:szCs w:val="24"/>
          <w:lang w:val="es-ES"/>
        </w:rPr>
        <w:t xml:space="preserve">) auditorías a las compañías aseguradoras y/o reaseguradoras,  </w:t>
      </w:r>
      <w:r w:rsidR="002C00AB">
        <w:rPr>
          <w:sz w:val="24"/>
          <w:szCs w:val="24"/>
          <w:lang w:val="es-ES"/>
        </w:rPr>
        <w:t>de las cuales trece (13) han finalizado y diez (10</w:t>
      </w:r>
      <w:r w:rsidR="00431A8D">
        <w:rPr>
          <w:sz w:val="24"/>
          <w:szCs w:val="24"/>
          <w:lang w:val="es-ES"/>
        </w:rPr>
        <w:t>) se encuentran en proceso</w:t>
      </w:r>
      <w:r w:rsidR="00660705">
        <w:rPr>
          <w:sz w:val="24"/>
          <w:szCs w:val="24"/>
          <w:lang w:val="es-ES"/>
        </w:rPr>
        <w:t xml:space="preserve"> y la</w:t>
      </w:r>
      <w:r w:rsidR="00431A8D">
        <w:rPr>
          <w:sz w:val="24"/>
          <w:szCs w:val="24"/>
          <w:lang w:val="es-ES"/>
        </w:rPr>
        <w:t xml:space="preserve"> </w:t>
      </w:r>
      <w:r w:rsidR="00660705">
        <w:rPr>
          <w:sz w:val="24"/>
          <w:szCs w:val="24"/>
          <w:lang w:val="es-ES"/>
        </w:rPr>
        <w:t>realización de</w:t>
      </w:r>
      <w:r w:rsidR="00431A8D">
        <w:rPr>
          <w:sz w:val="24"/>
          <w:szCs w:val="24"/>
          <w:lang w:val="es-ES"/>
        </w:rPr>
        <w:t xml:space="preserve"> </w:t>
      </w:r>
      <w:r w:rsidR="002C00AB">
        <w:rPr>
          <w:sz w:val="24"/>
          <w:szCs w:val="24"/>
          <w:lang w:val="es-ES"/>
        </w:rPr>
        <w:t xml:space="preserve"> treinta y dos (32)</w:t>
      </w:r>
      <w:r w:rsidR="00431A8D" w:rsidRPr="00431A8D">
        <w:rPr>
          <w:sz w:val="24"/>
          <w:szCs w:val="24"/>
          <w:lang w:val="es-ES"/>
        </w:rPr>
        <w:t xml:space="preserve"> </w:t>
      </w:r>
      <w:r w:rsidR="00431A8D">
        <w:rPr>
          <w:sz w:val="24"/>
          <w:szCs w:val="24"/>
          <w:lang w:val="es-ES"/>
        </w:rPr>
        <w:t>auditorias a igual número de corredores de seguros.</w:t>
      </w:r>
    </w:p>
    <w:p w:rsidR="00B55DD3" w:rsidRDefault="00B55DD3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55DD3" w:rsidRDefault="004F31E9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Aprobó</w:t>
      </w:r>
      <w:r w:rsidR="002C00AB">
        <w:rPr>
          <w:sz w:val="24"/>
          <w:szCs w:val="24"/>
          <w:lang w:val="es-ES"/>
        </w:rPr>
        <w:t xml:space="preserve"> un total de doce (12</w:t>
      </w:r>
      <w:r w:rsidR="00B55DD3">
        <w:rPr>
          <w:sz w:val="24"/>
          <w:szCs w:val="24"/>
          <w:lang w:val="es-ES"/>
        </w:rPr>
        <w:t>) solicitudes para aumento de capital, cancelaciones, transferencias y suscripciones de acciones.</w:t>
      </w:r>
    </w:p>
    <w:p w:rsidR="00B55DD3" w:rsidRPr="00217C67" w:rsidRDefault="00B55DD3" w:rsidP="0072722B">
      <w:pPr>
        <w:spacing w:line="360" w:lineRule="auto"/>
        <w:jc w:val="both"/>
        <w:rPr>
          <w:b/>
          <w:color w:val="262626"/>
          <w:sz w:val="24"/>
          <w:szCs w:val="24"/>
          <w:lang w:val="es-ES"/>
        </w:rPr>
      </w:pPr>
    </w:p>
    <w:p w:rsidR="00B55DD3" w:rsidRDefault="004F31E9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Recibió </w:t>
      </w:r>
      <w:r w:rsidR="002C00AB">
        <w:rPr>
          <w:sz w:val="24"/>
          <w:szCs w:val="24"/>
          <w:lang w:val="es-ES"/>
        </w:rPr>
        <w:t>noventa y seis (96</w:t>
      </w:r>
      <w:r w:rsidR="00B55DD3">
        <w:rPr>
          <w:sz w:val="24"/>
          <w:szCs w:val="24"/>
          <w:lang w:val="es-ES"/>
        </w:rPr>
        <w:t>) Estados Financieros de las Compañías de Seguros y Reaseguro</w:t>
      </w:r>
      <w:r w:rsidR="00E823FF">
        <w:rPr>
          <w:sz w:val="24"/>
          <w:szCs w:val="24"/>
          <w:lang w:val="es-ES"/>
        </w:rPr>
        <w:t>s vigentes, correspondientes a los tres primeros trimestre del año</w:t>
      </w:r>
      <w:r w:rsidR="00B55DD3">
        <w:rPr>
          <w:sz w:val="24"/>
          <w:szCs w:val="24"/>
          <w:lang w:val="es-ES"/>
        </w:rPr>
        <w:t>, los cuales fueron remitidos al departamento correspondiente con la finalidad de que sean analizados.</w:t>
      </w:r>
    </w:p>
    <w:p w:rsidR="00B55DD3" w:rsidRDefault="00B55DD3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B55DD3" w:rsidRPr="00DC1392" w:rsidRDefault="002C00AB" w:rsidP="0072722B">
      <w:pPr>
        <w:spacing w:line="360" w:lineRule="auto"/>
        <w:jc w:val="both"/>
        <w:rPr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realizaron setenta y tres (73</w:t>
      </w:r>
      <w:r w:rsidR="00B55DD3">
        <w:rPr>
          <w:sz w:val="24"/>
          <w:szCs w:val="24"/>
          <w:lang w:val="es-ES"/>
        </w:rPr>
        <w:t xml:space="preserve">) auditoria a igual número de Corredores de Seguros, correspondientes a </w:t>
      </w:r>
      <w:r w:rsidR="00E823FF">
        <w:rPr>
          <w:sz w:val="24"/>
          <w:szCs w:val="24"/>
          <w:lang w:val="es-ES"/>
        </w:rPr>
        <w:t xml:space="preserve">sus </w:t>
      </w:r>
      <w:r w:rsidR="00B55DD3">
        <w:rPr>
          <w:sz w:val="24"/>
          <w:szCs w:val="24"/>
          <w:lang w:val="es-ES"/>
        </w:rPr>
        <w:t>operaciones</w:t>
      </w:r>
      <w:r w:rsidR="00CE7997">
        <w:rPr>
          <w:sz w:val="24"/>
          <w:szCs w:val="24"/>
          <w:lang w:val="es-ES"/>
        </w:rPr>
        <w:t xml:space="preserve"> del </w:t>
      </w:r>
      <w:r w:rsidR="00CE7997" w:rsidRPr="002A0F91">
        <w:rPr>
          <w:sz w:val="24"/>
          <w:szCs w:val="24"/>
          <w:lang w:val="es-ES"/>
        </w:rPr>
        <w:t>periodo</w:t>
      </w:r>
      <w:r w:rsidR="002A0F91">
        <w:rPr>
          <w:sz w:val="24"/>
          <w:szCs w:val="24"/>
          <w:lang w:val="es-ES"/>
        </w:rPr>
        <w:t>.</w:t>
      </w:r>
    </w:p>
    <w:p w:rsidR="00B55DD3" w:rsidRDefault="00B55DD3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60705" w:rsidRDefault="00660705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Recibimos </w:t>
      </w:r>
      <w:r w:rsidR="00F6122E">
        <w:rPr>
          <w:sz w:val="24"/>
          <w:szCs w:val="24"/>
          <w:lang w:val="es-ES"/>
        </w:rPr>
        <w:t>treinta y dos</w:t>
      </w:r>
      <w:r>
        <w:rPr>
          <w:sz w:val="24"/>
          <w:szCs w:val="24"/>
          <w:lang w:val="es-ES"/>
        </w:rPr>
        <w:t xml:space="preserve"> (</w:t>
      </w:r>
      <w:r w:rsidR="00F6122E">
        <w:rPr>
          <w:sz w:val="24"/>
          <w:szCs w:val="24"/>
          <w:lang w:val="es-ES"/>
        </w:rPr>
        <w:t>32</w:t>
      </w:r>
      <w:r>
        <w:rPr>
          <w:sz w:val="24"/>
          <w:szCs w:val="24"/>
          <w:lang w:val="es-ES"/>
        </w:rPr>
        <w:t>)  estados financieros auditados correspondi</w:t>
      </w:r>
      <w:r w:rsidR="002C00AB">
        <w:rPr>
          <w:sz w:val="24"/>
          <w:szCs w:val="24"/>
          <w:lang w:val="es-ES"/>
        </w:rPr>
        <w:t>entes al 31 de diciembre de 2016</w:t>
      </w:r>
      <w:r>
        <w:rPr>
          <w:sz w:val="24"/>
          <w:szCs w:val="24"/>
          <w:lang w:val="es-ES"/>
        </w:rPr>
        <w:t xml:space="preserve"> de las compañías de seguros y reaseguros</w:t>
      </w:r>
      <w:r w:rsidR="00CE7997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 </w:t>
      </w:r>
    </w:p>
    <w:p w:rsidR="00660705" w:rsidRDefault="00660705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60705" w:rsidRDefault="00660705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Recibimos y remitimos los Estados de Situación de Ganancias y Pérdidas y el Estado de Flujo de Efectivo de </w:t>
      </w:r>
      <w:r w:rsidR="007462A3">
        <w:rPr>
          <w:sz w:val="24"/>
          <w:szCs w:val="24"/>
          <w:lang w:val="es-ES"/>
        </w:rPr>
        <w:t>treinta y dos</w:t>
      </w:r>
      <w:r w:rsidR="00CE7997">
        <w:rPr>
          <w:sz w:val="24"/>
          <w:szCs w:val="24"/>
          <w:lang w:val="es-ES"/>
        </w:rPr>
        <w:t xml:space="preserve"> (</w:t>
      </w:r>
      <w:r w:rsidR="007462A3">
        <w:rPr>
          <w:sz w:val="24"/>
          <w:szCs w:val="24"/>
          <w:lang w:val="es-ES"/>
        </w:rPr>
        <w:t>32</w:t>
      </w:r>
      <w:r w:rsidR="00CE7997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compañías de seguros </w:t>
      </w:r>
      <w:r w:rsidR="00CE7997">
        <w:rPr>
          <w:sz w:val="24"/>
          <w:szCs w:val="24"/>
          <w:lang w:val="es-ES"/>
        </w:rPr>
        <w:t>y</w:t>
      </w:r>
      <w:r>
        <w:rPr>
          <w:sz w:val="24"/>
          <w:szCs w:val="24"/>
          <w:lang w:val="es-ES"/>
        </w:rPr>
        <w:t xml:space="preserve"> reaseguros sobre las operaciones termin</w:t>
      </w:r>
      <w:r w:rsidR="007462A3">
        <w:rPr>
          <w:sz w:val="24"/>
          <w:szCs w:val="24"/>
          <w:lang w:val="es-ES"/>
        </w:rPr>
        <w:t>adas al 31 de diciembre del 2016</w:t>
      </w:r>
      <w:r>
        <w:rPr>
          <w:sz w:val="24"/>
          <w:szCs w:val="24"/>
          <w:lang w:val="es-ES"/>
        </w:rPr>
        <w:t>, para ser aprobado por esta Superintendencia con el propósito de que las mismas sean publicados en un medio de comunicación impreso como lo indica la Ley  No.146-02.</w:t>
      </w:r>
    </w:p>
    <w:p w:rsidR="004137BD" w:rsidRDefault="004137BD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10781A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elaboradas las siguientes resoluciones:</w:t>
      </w:r>
    </w:p>
    <w:p w:rsidR="00660705" w:rsidRDefault="00660705" w:rsidP="0072722B">
      <w:pPr>
        <w:spacing w:line="360" w:lineRule="auto"/>
        <w:ind w:left="786"/>
        <w:jc w:val="both"/>
        <w:rPr>
          <w:sz w:val="24"/>
          <w:szCs w:val="24"/>
          <w:lang w:val="es-ES"/>
        </w:rPr>
      </w:pPr>
    </w:p>
    <w:p w:rsidR="0010781A" w:rsidRPr="004137BD" w:rsidRDefault="0010781A" w:rsidP="0072722B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Resolución </w:t>
      </w:r>
      <w:r w:rsidR="0009397C">
        <w:rPr>
          <w:sz w:val="24"/>
          <w:szCs w:val="24"/>
          <w:lang w:val="es-ES"/>
        </w:rPr>
        <w:t>No.1-2017 de fecha 13 de enero del 2017 revocando la autorización para operar en el negocio de seguros en todos los ramos a S</w:t>
      </w:r>
      <w:r w:rsidR="00BF7004">
        <w:rPr>
          <w:sz w:val="24"/>
          <w:szCs w:val="24"/>
          <w:lang w:val="es-ES"/>
        </w:rPr>
        <w:t>eguros</w:t>
      </w:r>
      <w:r w:rsidR="0009397C">
        <w:rPr>
          <w:sz w:val="24"/>
          <w:szCs w:val="24"/>
          <w:lang w:val="es-ES"/>
        </w:rPr>
        <w:t xml:space="preserve"> C</w:t>
      </w:r>
      <w:r w:rsidR="00BF7004">
        <w:rPr>
          <w:sz w:val="24"/>
          <w:szCs w:val="24"/>
          <w:lang w:val="es-ES"/>
        </w:rPr>
        <w:t>onstitución</w:t>
      </w:r>
      <w:r w:rsidR="005E71F5">
        <w:rPr>
          <w:sz w:val="24"/>
          <w:szCs w:val="24"/>
          <w:lang w:val="es-ES"/>
        </w:rPr>
        <w:t>, S.A</w:t>
      </w:r>
      <w:r w:rsidR="0009397C">
        <w:rPr>
          <w:sz w:val="24"/>
          <w:szCs w:val="24"/>
          <w:lang w:val="es-ES"/>
        </w:rPr>
        <w:t>.</w:t>
      </w:r>
    </w:p>
    <w:p w:rsidR="0010781A" w:rsidRDefault="0009397C" w:rsidP="0072722B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Resolución No.2-2017 de  fecha 2 de mayo del 2017 relativa a la inversión de las reservas de las compañías </w:t>
      </w:r>
      <w:r w:rsidR="005E71F5">
        <w:rPr>
          <w:sz w:val="24"/>
          <w:szCs w:val="24"/>
          <w:lang w:val="es-ES"/>
        </w:rPr>
        <w:t>aseguradoras</w:t>
      </w:r>
      <w:r w:rsidR="00983B38">
        <w:rPr>
          <w:sz w:val="24"/>
          <w:szCs w:val="24"/>
          <w:lang w:val="es-ES"/>
        </w:rPr>
        <w:t>,</w:t>
      </w:r>
      <w:r w:rsidR="00983B38" w:rsidRPr="00983B38">
        <w:rPr>
          <w:sz w:val="24"/>
          <w:szCs w:val="24"/>
          <w:lang w:val="es-ES"/>
        </w:rPr>
        <w:t xml:space="preserve"> </w:t>
      </w:r>
      <w:r w:rsidR="00983B38">
        <w:rPr>
          <w:sz w:val="24"/>
          <w:szCs w:val="24"/>
          <w:lang w:val="es-ES"/>
        </w:rPr>
        <w:t>en nuevos instrumentos de inversión</w:t>
      </w:r>
      <w:r>
        <w:rPr>
          <w:sz w:val="24"/>
          <w:szCs w:val="24"/>
          <w:lang w:val="es-ES"/>
        </w:rPr>
        <w:t>.</w:t>
      </w:r>
    </w:p>
    <w:p w:rsidR="0009397C" w:rsidRDefault="0009397C" w:rsidP="0072722B">
      <w:pPr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RESOLUCION NO. 06-2017 de fecha 26 de octubre del 2017 mediante la cual se suspende temporalmente el ramo de </w:t>
      </w:r>
      <w:r w:rsidR="00983B38">
        <w:rPr>
          <w:sz w:val="24"/>
          <w:szCs w:val="24"/>
          <w:lang w:val="es-ES"/>
        </w:rPr>
        <w:t>F</w:t>
      </w:r>
      <w:r>
        <w:rPr>
          <w:sz w:val="24"/>
          <w:szCs w:val="24"/>
          <w:lang w:val="es-ES"/>
        </w:rPr>
        <w:t>ianzas a la aseguradora A</w:t>
      </w:r>
      <w:r w:rsidR="00983B38">
        <w:rPr>
          <w:sz w:val="24"/>
          <w:szCs w:val="24"/>
          <w:lang w:val="es-ES"/>
        </w:rPr>
        <w:t>migos</w:t>
      </w:r>
      <w:r>
        <w:rPr>
          <w:sz w:val="24"/>
          <w:szCs w:val="24"/>
          <w:lang w:val="es-ES"/>
        </w:rPr>
        <w:t xml:space="preserve"> C</w:t>
      </w:r>
      <w:r w:rsidR="00983B38">
        <w:rPr>
          <w:sz w:val="24"/>
          <w:szCs w:val="24"/>
          <w:lang w:val="es-ES"/>
        </w:rPr>
        <w:t>ompañía de</w:t>
      </w:r>
      <w:r>
        <w:rPr>
          <w:sz w:val="24"/>
          <w:szCs w:val="24"/>
          <w:lang w:val="es-ES"/>
        </w:rPr>
        <w:t xml:space="preserve"> </w:t>
      </w:r>
      <w:r w:rsidR="00983B38">
        <w:rPr>
          <w:sz w:val="24"/>
          <w:szCs w:val="24"/>
          <w:lang w:val="es-ES"/>
        </w:rPr>
        <w:t>Seguros,</w:t>
      </w:r>
      <w:r w:rsidR="005E71F5">
        <w:rPr>
          <w:sz w:val="24"/>
          <w:szCs w:val="24"/>
          <w:lang w:val="es-ES"/>
        </w:rPr>
        <w:t xml:space="preserve"> S.A.</w:t>
      </w:r>
    </w:p>
    <w:p w:rsidR="00312472" w:rsidRDefault="00312472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10781A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Fue intervenida administr</w:t>
      </w:r>
      <w:r w:rsidR="0009397C">
        <w:rPr>
          <w:sz w:val="24"/>
          <w:szCs w:val="24"/>
          <w:lang w:val="es-ES"/>
        </w:rPr>
        <w:t>ativamente  L</w:t>
      </w:r>
      <w:r w:rsidR="00983B38">
        <w:rPr>
          <w:sz w:val="24"/>
          <w:szCs w:val="24"/>
          <w:lang w:val="es-ES"/>
        </w:rPr>
        <w:t>a</w:t>
      </w:r>
      <w:r w:rsidR="0009397C">
        <w:rPr>
          <w:sz w:val="24"/>
          <w:szCs w:val="24"/>
          <w:lang w:val="es-ES"/>
        </w:rPr>
        <w:t xml:space="preserve"> C</w:t>
      </w:r>
      <w:r w:rsidR="00983B38">
        <w:rPr>
          <w:sz w:val="24"/>
          <w:szCs w:val="24"/>
          <w:lang w:val="es-ES"/>
        </w:rPr>
        <w:t>omercial de</w:t>
      </w:r>
      <w:r w:rsidR="0009397C">
        <w:rPr>
          <w:sz w:val="24"/>
          <w:szCs w:val="24"/>
          <w:lang w:val="es-ES"/>
        </w:rPr>
        <w:t xml:space="preserve"> S</w:t>
      </w:r>
      <w:r w:rsidR="00983B38">
        <w:rPr>
          <w:sz w:val="24"/>
          <w:szCs w:val="24"/>
          <w:lang w:val="es-ES"/>
        </w:rPr>
        <w:t>eguros y f</w:t>
      </w:r>
      <w:r>
        <w:rPr>
          <w:sz w:val="24"/>
          <w:szCs w:val="24"/>
          <w:lang w:val="es-ES"/>
        </w:rPr>
        <w:t>ueron aprobados diversos modelos de pólizas.</w:t>
      </w:r>
    </w:p>
    <w:p w:rsidR="00983B38" w:rsidRDefault="00983B38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10781A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 aprobada la solicit</w:t>
      </w:r>
      <w:r w:rsidR="000715F8">
        <w:rPr>
          <w:sz w:val="24"/>
          <w:szCs w:val="24"/>
          <w:lang w:val="es-ES"/>
        </w:rPr>
        <w:t>ud de cambio de nombre de S</w:t>
      </w:r>
      <w:r w:rsidR="00983B38">
        <w:rPr>
          <w:sz w:val="24"/>
          <w:szCs w:val="24"/>
          <w:lang w:val="es-ES"/>
        </w:rPr>
        <w:t>eguros</w:t>
      </w:r>
      <w:r w:rsidR="000715F8">
        <w:rPr>
          <w:sz w:val="24"/>
          <w:szCs w:val="24"/>
          <w:lang w:val="es-ES"/>
        </w:rPr>
        <w:t xml:space="preserve"> B</w:t>
      </w:r>
      <w:r w:rsidR="00983B38">
        <w:rPr>
          <w:sz w:val="24"/>
          <w:szCs w:val="24"/>
          <w:lang w:val="es-ES"/>
        </w:rPr>
        <w:t>anreservas</w:t>
      </w:r>
      <w:r w:rsidR="005E71F5">
        <w:rPr>
          <w:sz w:val="24"/>
          <w:szCs w:val="24"/>
          <w:lang w:val="es-ES"/>
        </w:rPr>
        <w:t>, S.A</w:t>
      </w:r>
      <w:r w:rsidR="000715F8">
        <w:rPr>
          <w:sz w:val="24"/>
          <w:szCs w:val="24"/>
          <w:lang w:val="es-ES"/>
        </w:rPr>
        <w:t>. por S</w:t>
      </w:r>
      <w:r w:rsidR="00983B38">
        <w:rPr>
          <w:sz w:val="24"/>
          <w:szCs w:val="24"/>
          <w:lang w:val="es-ES"/>
        </w:rPr>
        <w:t>eguros</w:t>
      </w:r>
      <w:r w:rsidR="000715F8">
        <w:rPr>
          <w:sz w:val="24"/>
          <w:szCs w:val="24"/>
          <w:lang w:val="es-ES"/>
        </w:rPr>
        <w:t xml:space="preserve">  </w:t>
      </w:r>
      <w:r w:rsidR="00885276">
        <w:rPr>
          <w:sz w:val="24"/>
          <w:szCs w:val="24"/>
          <w:lang w:val="es-ES"/>
        </w:rPr>
        <w:t>R</w:t>
      </w:r>
      <w:r w:rsidR="00983B38">
        <w:rPr>
          <w:sz w:val="24"/>
          <w:szCs w:val="24"/>
          <w:lang w:val="es-ES"/>
        </w:rPr>
        <w:t>eservas</w:t>
      </w:r>
      <w:r w:rsidR="005E71F5">
        <w:rPr>
          <w:sz w:val="24"/>
          <w:szCs w:val="24"/>
          <w:lang w:val="es-ES"/>
        </w:rPr>
        <w:t>, S.A</w:t>
      </w:r>
      <w:r w:rsidR="00885276">
        <w:rPr>
          <w:sz w:val="24"/>
          <w:szCs w:val="24"/>
          <w:lang w:val="es-ES"/>
        </w:rPr>
        <w:t>.</w:t>
      </w:r>
    </w:p>
    <w:p w:rsidR="00983B38" w:rsidRDefault="00983B38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10B00" w:rsidRDefault="00610B00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</w:t>
      </w:r>
      <w:r w:rsidR="00983B38">
        <w:rPr>
          <w:sz w:val="24"/>
          <w:szCs w:val="24"/>
          <w:lang w:val="es-ES"/>
        </w:rPr>
        <w:t>le dio seguimiento a cada empresa aseguradora en lo referente a</w:t>
      </w:r>
      <w:r>
        <w:rPr>
          <w:sz w:val="24"/>
          <w:szCs w:val="24"/>
          <w:lang w:val="es-ES"/>
        </w:rPr>
        <w:t xml:space="preserve">l </w:t>
      </w:r>
      <w:r w:rsidR="005E71F5">
        <w:rPr>
          <w:sz w:val="24"/>
          <w:szCs w:val="24"/>
          <w:lang w:val="es-ES"/>
        </w:rPr>
        <w:t>cálculo</w:t>
      </w:r>
      <w:r>
        <w:rPr>
          <w:sz w:val="24"/>
          <w:szCs w:val="24"/>
          <w:lang w:val="es-ES"/>
        </w:rPr>
        <w:t xml:space="preserve"> del margen de solvencia tanto en función de las primas como en función de los siniestros, </w:t>
      </w:r>
      <w:r w:rsidR="005E71F5">
        <w:rPr>
          <w:sz w:val="24"/>
          <w:szCs w:val="24"/>
          <w:lang w:val="es-ES"/>
        </w:rPr>
        <w:t>así</w:t>
      </w:r>
      <w:r>
        <w:rPr>
          <w:sz w:val="24"/>
          <w:szCs w:val="24"/>
          <w:lang w:val="es-ES"/>
        </w:rPr>
        <w:t xml:space="preserve"> como el patrimonio técnico ajustado y la liquidez </w:t>
      </w:r>
      <w:r w:rsidR="005E71F5">
        <w:rPr>
          <w:sz w:val="24"/>
          <w:szCs w:val="24"/>
          <w:lang w:val="es-ES"/>
        </w:rPr>
        <w:t>mínima</w:t>
      </w:r>
      <w:r w:rsidR="00983B38">
        <w:rPr>
          <w:sz w:val="24"/>
          <w:szCs w:val="24"/>
          <w:lang w:val="es-ES"/>
        </w:rPr>
        <w:t xml:space="preserve"> requerida y </w:t>
      </w:r>
      <w:r w:rsidR="00E33869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e publicaron</w:t>
      </w:r>
      <w:r w:rsidR="00E33869">
        <w:rPr>
          <w:sz w:val="24"/>
          <w:szCs w:val="24"/>
          <w:lang w:val="es-ES"/>
        </w:rPr>
        <w:t xml:space="preserve"> y procesaron </w:t>
      </w:r>
      <w:r>
        <w:rPr>
          <w:sz w:val="24"/>
          <w:szCs w:val="24"/>
          <w:lang w:val="es-ES"/>
        </w:rPr>
        <w:t xml:space="preserve">los márgenes de solvencia y liquidez </w:t>
      </w:r>
      <w:r w:rsidR="005E71F5">
        <w:rPr>
          <w:sz w:val="24"/>
          <w:szCs w:val="24"/>
          <w:lang w:val="es-ES"/>
        </w:rPr>
        <w:t>mínima</w:t>
      </w:r>
      <w:r>
        <w:rPr>
          <w:sz w:val="24"/>
          <w:szCs w:val="24"/>
          <w:lang w:val="es-ES"/>
        </w:rPr>
        <w:t xml:space="preserve"> requerida de las compañías de seguros y reaseguros de la </w:t>
      </w:r>
      <w:r w:rsidR="002409C7">
        <w:rPr>
          <w:sz w:val="24"/>
          <w:szCs w:val="24"/>
          <w:lang w:val="es-ES"/>
        </w:rPr>
        <w:t>República</w:t>
      </w:r>
      <w:r>
        <w:rPr>
          <w:sz w:val="24"/>
          <w:szCs w:val="24"/>
          <w:lang w:val="es-ES"/>
        </w:rPr>
        <w:t xml:space="preserve"> Dominicana, correspondientes al 31 de diciembre 2016, 31 de marzo 2017, 30 de junio 2017 y 30 de septiembre 2017</w:t>
      </w:r>
      <w:r w:rsidR="00E33869">
        <w:rPr>
          <w:sz w:val="24"/>
          <w:szCs w:val="24"/>
          <w:lang w:val="es-ES"/>
        </w:rPr>
        <w:t>.</w:t>
      </w:r>
    </w:p>
    <w:p w:rsidR="00610B00" w:rsidRDefault="00610B00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10781A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Analizamos los</w:t>
      </w:r>
      <w:r w:rsidR="00CA6E18">
        <w:rPr>
          <w:sz w:val="24"/>
          <w:szCs w:val="24"/>
          <w:lang w:val="es-ES"/>
        </w:rPr>
        <w:t xml:space="preserve"> Estados Financiero auditados</w:t>
      </w:r>
      <w:r>
        <w:rPr>
          <w:sz w:val="24"/>
          <w:szCs w:val="24"/>
          <w:lang w:val="es-ES"/>
        </w:rPr>
        <w:t xml:space="preserve"> de Treinta</w:t>
      </w:r>
      <w:r w:rsidR="00E33869">
        <w:rPr>
          <w:sz w:val="24"/>
          <w:szCs w:val="24"/>
          <w:lang w:val="es-ES"/>
        </w:rPr>
        <w:t xml:space="preserve"> y una (31)</w:t>
      </w:r>
      <w:r>
        <w:rPr>
          <w:sz w:val="24"/>
          <w:szCs w:val="24"/>
          <w:lang w:val="es-ES"/>
        </w:rPr>
        <w:t xml:space="preserve"> compañías aseguradoras y </w:t>
      </w:r>
      <w:r w:rsidR="00CA6E18">
        <w:rPr>
          <w:sz w:val="24"/>
          <w:szCs w:val="24"/>
          <w:lang w:val="es-ES"/>
        </w:rPr>
        <w:t>reaseguradoras</w:t>
      </w:r>
      <w:r w:rsidR="00E33869">
        <w:rPr>
          <w:sz w:val="24"/>
          <w:szCs w:val="24"/>
          <w:lang w:val="es-ES"/>
        </w:rPr>
        <w:t>.</w:t>
      </w:r>
    </w:p>
    <w:p w:rsidR="00312472" w:rsidRDefault="00312472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64416A" w:rsidRDefault="0010781A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Elaboramos el informe de Alertas de las compañías aseguradoras y reaseguradoras de los estados financieros audit</w:t>
      </w:r>
      <w:r w:rsidR="0064416A">
        <w:rPr>
          <w:sz w:val="24"/>
          <w:szCs w:val="24"/>
          <w:lang w:val="es-ES"/>
        </w:rPr>
        <w:t xml:space="preserve">ados del 2016 y los trimestrales 2017. </w:t>
      </w:r>
    </w:p>
    <w:p w:rsidR="00E33869" w:rsidRDefault="00E33869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10781A" w:rsidRDefault="0064416A" w:rsidP="0072722B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 elaborado</w:t>
      </w:r>
      <w:r w:rsidR="0072722B">
        <w:rPr>
          <w:sz w:val="24"/>
          <w:szCs w:val="24"/>
          <w:lang w:val="es-ES"/>
        </w:rPr>
        <w:t xml:space="preserve"> el boletín estadístico 2015-201</w:t>
      </w:r>
      <w:r>
        <w:rPr>
          <w:sz w:val="24"/>
          <w:szCs w:val="24"/>
          <w:lang w:val="es-ES"/>
        </w:rPr>
        <w:t xml:space="preserve">6,  </w:t>
      </w:r>
      <w:r w:rsidR="005E71F5">
        <w:rPr>
          <w:sz w:val="24"/>
          <w:szCs w:val="24"/>
          <w:lang w:val="es-ES"/>
        </w:rPr>
        <w:t>así</w:t>
      </w:r>
      <w:r>
        <w:rPr>
          <w:sz w:val="24"/>
          <w:szCs w:val="24"/>
          <w:lang w:val="es-ES"/>
        </w:rPr>
        <w:t xml:space="preserve"> como el boletín de Reaseguros </w:t>
      </w:r>
      <w:r w:rsidR="005E71F5">
        <w:rPr>
          <w:sz w:val="24"/>
          <w:szCs w:val="24"/>
          <w:lang w:val="es-ES"/>
        </w:rPr>
        <w:t>cedidos</w:t>
      </w:r>
      <w:r>
        <w:rPr>
          <w:sz w:val="24"/>
          <w:szCs w:val="24"/>
          <w:lang w:val="es-ES"/>
        </w:rPr>
        <w:t xml:space="preserve"> 2015-2016.</w:t>
      </w:r>
      <w:r w:rsidR="0010781A">
        <w:rPr>
          <w:sz w:val="24"/>
          <w:szCs w:val="24"/>
          <w:lang w:val="es-ES"/>
        </w:rPr>
        <w:t xml:space="preserve"> </w:t>
      </w:r>
    </w:p>
    <w:p w:rsidR="00B55DD3" w:rsidRDefault="00B55DD3" w:rsidP="0072722B">
      <w:pPr>
        <w:spacing w:line="360" w:lineRule="auto"/>
        <w:jc w:val="both"/>
        <w:rPr>
          <w:sz w:val="24"/>
          <w:szCs w:val="24"/>
          <w:lang w:val="es-ES"/>
        </w:rPr>
      </w:pPr>
    </w:p>
    <w:p w:rsidR="000D656F" w:rsidRDefault="00A3356E" w:rsidP="0072722B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9137AE">
        <w:rPr>
          <w:sz w:val="24"/>
          <w:szCs w:val="24"/>
          <w:lang w:val="es-ES"/>
        </w:rPr>
        <w:t xml:space="preserve">Las primas </w:t>
      </w:r>
      <w:r>
        <w:rPr>
          <w:sz w:val="24"/>
          <w:szCs w:val="24"/>
          <w:lang w:val="es-ES"/>
        </w:rPr>
        <w:t>n</w:t>
      </w:r>
      <w:r w:rsidRPr="009137AE">
        <w:rPr>
          <w:sz w:val="24"/>
          <w:szCs w:val="24"/>
          <w:lang w:val="es-ES"/>
        </w:rPr>
        <w:t xml:space="preserve">etas y </w:t>
      </w:r>
      <w:r>
        <w:rPr>
          <w:sz w:val="24"/>
          <w:szCs w:val="24"/>
          <w:lang w:val="es-ES"/>
        </w:rPr>
        <w:t>e</w:t>
      </w:r>
      <w:r w:rsidRPr="009137AE">
        <w:rPr>
          <w:sz w:val="24"/>
          <w:szCs w:val="24"/>
          <w:lang w:val="es-ES"/>
        </w:rPr>
        <w:t xml:space="preserve">xoneradas </w:t>
      </w:r>
      <w:r>
        <w:rPr>
          <w:sz w:val="24"/>
          <w:szCs w:val="24"/>
          <w:lang w:val="es-ES"/>
        </w:rPr>
        <w:t>c</w:t>
      </w:r>
      <w:r w:rsidRPr="009137AE">
        <w:rPr>
          <w:sz w:val="24"/>
          <w:szCs w:val="24"/>
          <w:lang w:val="es-ES"/>
        </w:rPr>
        <w:t xml:space="preserve">obradas en el período que nos ocupa alcanzaron un valor de </w:t>
      </w:r>
      <w:r w:rsidR="00556512">
        <w:rPr>
          <w:sz w:val="24"/>
          <w:szCs w:val="24"/>
          <w:lang w:val="es-ES"/>
        </w:rPr>
        <w:t xml:space="preserve">        </w:t>
      </w:r>
      <w:r w:rsidRPr="009137AE">
        <w:rPr>
          <w:b/>
          <w:sz w:val="24"/>
          <w:szCs w:val="24"/>
          <w:lang w:val="es-ES"/>
        </w:rPr>
        <w:t>RD$</w:t>
      </w:r>
      <w:r w:rsidR="0064416A">
        <w:rPr>
          <w:b/>
          <w:sz w:val="24"/>
          <w:szCs w:val="24"/>
          <w:lang w:val="es-ES"/>
        </w:rPr>
        <w:t xml:space="preserve"> 48,117,773,801.00 (c</w:t>
      </w:r>
      <w:r w:rsidR="00FC5F1A">
        <w:rPr>
          <w:b/>
          <w:sz w:val="24"/>
          <w:szCs w:val="24"/>
          <w:lang w:val="es-ES"/>
        </w:rPr>
        <w:t>uarenta y ocho mil ciento dieci</w:t>
      </w:r>
      <w:r w:rsidR="0064416A">
        <w:rPr>
          <w:b/>
          <w:sz w:val="24"/>
          <w:szCs w:val="24"/>
          <w:lang w:val="es-ES"/>
        </w:rPr>
        <w:t>siete millones, setecientos setenta y tres mil</w:t>
      </w:r>
      <w:r w:rsidR="000D656F">
        <w:rPr>
          <w:b/>
          <w:sz w:val="24"/>
          <w:szCs w:val="24"/>
          <w:lang w:val="es-ES"/>
        </w:rPr>
        <w:t xml:space="preserve"> ochocientos un</w:t>
      </w:r>
      <w:r w:rsidR="00FC5F1A">
        <w:rPr>
          <w:b/>
          <w:sz w:val="24"/>
          <w:szCs w:val="24"/>
          <w:lang w:val="es-ES"/>
        </w:rPr>
        <w:t>o</w:t>
      </w:r>
      <w:r w:rsidR="000D656F">
        <w:rPr>
          <w:b/>
          <w:sz w:val="24"/>
          <w:szCs w:val="24"/>
          <w:lang w:val="es-ES"/>
        </w:rPr>
        <w:t xml:space="preserve"> pesos con 00/100, de los cuales RD$36,088,330,351.00 (treinta y seis mil ochenta y ocho millones, trescientos treinta mil  trescientos cincuenta y un</w:t>
      </w:r>
      <w:r w:rsidR="00FC5F1A">
        <w:rPr>
          <w:b/>
          <w:sz w:val="24"/>
          <w:szCs w:val="24"/>
          <w:lang w:val="es-ES"/>
        </w:rPr>
        <w:t>o</w:t>
      </w:r>
      <w:r w:rsidR="000D656F">
        <w:rPr>
          <w:b/>
          <w:sz w:val="24"/>
          <w:szCs w:val="24"/>
          <w:lang w:val="es-ES"/>
        </w:rPr>
        <w:t xml:space="preserve"> pesos con 00/100 corresponden a primas netas, y RD12,029.4</w:t>
      </w:r>
      <w:r w:rsidR="00C867B8">
        <w:rPr>
          <w:b/>
          <w:sz w:val="24"/>
          <w:szCs w:val="24"/>
          <w:lang w:val="es-ES"/>
        </w:rPr>
        <w:t>43,450. ( doce mil</w:t>
      </w:r>
      <w:r w:rsidR="000D656F">
        <w:rPr>
          <w:b/>
          <w:sz w:val="24"/>
          <w:szCs w:val="24"/>
          <w:lang w:val="es-ES"/>
        </w:rPr>
        <w:t xml:space="preserve"> veinte y nueve millones cuatrocientos cuarenta y tres mil cuatrocientos cincuenta pesos con 00/100) corresponden a las primas ex</w:t>
      </w:r>
      <w:r w:rsidR="00552C61">
        <w:rPr>
          <w:b/>
          <w:sz w:val="24"/>
          <w:szCs w:val="24"/>
          <w:lang w:val="es-ES"/>
        </w:rPr>
        <w:t xml:space="preserve">oneradas. </w:t>
      </w:r>
      <w:r w:rsidR="000816B1">
        <w:rPr>
          <w:b/>
          <w:sz w:val="24"/>
          <w:szCs w:val="24"/>
          <w:lang w:val="es-ES"/>
        </w:rPr>
        <w:t>(</w:t>
      </w:r>
      <w:r w:rsidR="00552C61">
        <w:rPr>
          <w:b/>
          <w:sz w:val="24"/>
          <w:szCs w:val="24"/>
          <w:lang w:val="es-ES"/>
        </w:rPr>
        <w:t xml:space="preserve">Ver cuadro </w:t>
      </w:r>
      <w:r w:rsidR="00552C61" w:rsidRPr="00552C61">
        <w:rPr>
          <w:b/>
          <w:color w:val="FF0000"/>
          <w:sz w:val="24"/>
          <w:szCs w:val="24"/>
          <w:lang w:val="es-ES"/>
        </w:rPr>
        <w:t xml:space="preserve"> </w:t>
      </w:r>
      <w:r w:rsidR="00552C61">
        <w:rPr>
          <w:b/>
          <w:sz w:val="24"/>
          <w:szCs w:val="24"/>
          <w:lang w:val="es-ES"/>
        </w:rPr>
        <w:t>No. 1</w:t>
      </w:r>
      <w:r w:rsidR="000816B1">
        <w:rPr>
          <w:b/>
          <w:sz w:val="24"/>
          <w:szCs w:val="24"/>
          <w:lang w:val="es-ES"/>
        </w:rPr>
        <w:t>).</w:t>
      </w:r>
    </w:p>
    <w:p w:rsidR="00312472" w:rsidRDefault="00312472" w:rsidP="0072722B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A3356E" w:rsidRDefault="00A3356E" w:rsidP="0072722B">
      <w:pPr>
        <w:spacing w:line="360" w:lineRule="auto"/>
        <w:jc w:val="both"/>
        <w:rPr>
          <w:sz w:val="26"/>
          <w:szCs w:val="26"/>
          <w:lang w:eastAsia="es-ES_tradnl"/>
        </w:rPr>
      </w:pPr>
      <w:r w:rsidRPr="00597D43">
        <w:rPr>
          <w:sz w:val="24"/>
          <w:szCs w:val="24"/>
          <w:lang w:eastAsia="es-ES_tradnl"/>
        </w:rPr>
        <w:t>En este período las primas netas experimentaron una variación absoluta con relación al mismo período del</w:t>
      </w:r>
      <w:r w:rsidR="00E666E4">
        <w:rPr>
          <w:sz w:val="24"/>
          <w:szCs w:val="24"/>
          <w:lang w:eastAsia="es-ES_tradnl"/>
        </w:rPr>
        <w:t xml:space="preserve"> 2016 por un monto deRD$6</w:t>
      </w:r>
      <w:r w:rsidR="00C867B8">
        <w:rPr>
          <w:sz w:val="24"/>
          <w:szCs w:val="24"/>
          <w:lang w:eastAsia="es-ES_tradnl"/>
        </w:rPr>
        <w:t>,</w:t>
      </w:r>
      <w:r w:rsidR="00E666E4">
        <w:rPr>
          <w:sz w:val="24"/>
          <w:szCs w:val="24"/>
          <w:lang w:eastAsia="es-ES_tradnl"/>
        </w:rPr>
        <w:t>295,539,558.00</w:t>
      </w:r>
      <w:r w:rsidR="00C867B8">
        <w:rPr>
          <w:sz w:val="24"/>
          <w:szCs w:val="24"/>
          <w:lang w:eastAsia="es-ES_tradnl"/>
        </w:rPr>
        <w:t xml:space="preserve"> </w:t>
      </w:r>
      <w:r w:rsidR="00E666E4">
        <w:rPr>
          <w:sz w:val="24"/>
          <w:szCs w:val="24"/>
          <w:lang w:eastAsia="es-ES_tradnl"/>
        </w:rPr>
        <w:t xml:space="preserve">(seis mil doscientos </w:t>
      </w:r>
      <w:r w:rsidR="005E71F5">
        <w:rPr>
          <w:sz w:val="24"/>
          <w:szCs w:val="24"/>
          <w:lang w:eastAsia="es-ES_tradnl"/>
        </w:rPr>
        <w:t>noventa</w:t>
      </w:r>
      <w:r w:rsidR="00E666E4">
        <w:rPr>
          <w:sz w:val="24"/>
          <w:szCs w:val="24"/>
          <w:lang w:eastAsia="es-ES_tradnl"/>
        </w:rPr>
        <w:t xml:space="preserve"> cinco millones, q</w:t>
      </w:r>
      <w:r w:rsidR="00E73953">
        <w:rPr>
          <w:sz w:val="24"/>
          <w:szCs w:val="24"/>
          <w:lang w:eastAsia="es-ES_tradnl"/>
        </w:rPr>
        <w:t>uinientos treinta y nueve mil quinientos cincuenta y ocho pesos con 00/100)</w:t>
      </w:r>
      <w:r w:rsidR="00FB5CE6">
        <w:rPr>
          <w:sz w:val="24"/>
          <w:szCs w:val="24"/>
          <w:lang w:eastAsia="es-ES_tradnl"/>
        </w:rPr>
        <w:t>.</w:t>
      </w:r>
      <w:r>
        <w:rPr>
          <w:sz w:val="26"/>
          <w:szCs w:val="26"/>
          <w:lang w:eastAsia="es-ES_tradnl"/>
        </w:rPr>
        <w:t xml:space="preserve">          </w:t>
      </w:r>
    </w:p>
    <w:p w:rsidR="00A3356E" w:rsidRDefault="00A3356E" w:rsidP="0072722B">
      <w:pPr>
        <w:spacing w:line="360" w:lineRule="auto"/>
        <w:jc w:val="both"/>
        <w:rPr>
          <w:sz w:val="26"/>
          <w:szCs w:val="26"/>
          <w:lang w:eastAsia="es-ES_tradnl"/>
        </w:rPr>
      </w:pPr>
      <w:r>
        <w:rPr>
          <w:sz w:val="26"/>
          <w:szCs w:val="26"/>
          <w:lang w:eastAsia="es-ES_tradnl"/>
        </w:rPr>
        <w:t xml:space="preserve">          </w:t>
      </w:r>
    </w:p>
    <w:p w:rsidR="00A3356E" w:rsidRPr="00E73953" w:rsidRDefault="00A3356E" w:rsidP="0072722B">
      <w:pPr>
        <w:spacing w:line="360" w:lineRule="auto"/>
        <w:jc w:val="both"/>
        <w:rPr>
          <w:b/>
          <w:sz w:val="24"/>
          <w:szCs w:val="24"/>
          <w:lang w:eastAsia="es-ES_tradnl"/>
        </w:rPr>
      </w:pPr>
      <w:r w:rsidRPr="00597D43">
        <w:rPr>
          <w:sz w:val="24"/>
          <w:szCs w:val="24"/>
          <w:lang w:eastAsia="es-ES_tradnl"/>
        </w:rPr>
        <w:t xml:space="preserve">Según el ramo, las primas netas cobradas en lo referente a vida individual alcanzaron un total de </w:t>
      </w:r>
      <w:r w:rsidRPr="00597D43">
        <w:rPr>
          <w:b/>
          <w:sz w:val="24"/>
          <w:szCs w:val="24"/>
          <w:lang w:eastAsia="es-ES_tradnl"/>
        </w:rPr>
        <w:t>RD$</w:t>
      </w:r>
      <w:r w:rsidR="00E73953">
        <w:rPr>
          <w:b/>
          <w:sz w:val="24"/>
          <w:szCs w:val="24"/>
          <w:lang w:eastAsia="es-ES_tradnl"/>
        </w:rPr>
        <w:t xml:space="preserve">160,176,829.00 (ciento sesenta millones, ciento setenta </w:t>
      </w:r>
      <w:r w:rsidR="00C867B8">
        <w:rPr>
          <w:b/>
          <w:sz w:val="24"/>
          <w:szCs w:val="24"/>
          <w:lang w:eastAsia="es-ES_tradnl"/>
        </w:rPr>
        <w:t>y seis mil ochocientos veinti</w:t>
      </w:r>
      <w:r w:rsidR="00E73953">
        <w:rPr>
          <w:b/>
          <w:sz w:val="24"/>
          <w:szCs w:val="24"/>
          <w:lang w:eastAsia="es-ES_tradnl"/>
        </w:rPr>
        <w:t xml:space="preserve">nueve </w:t>
      </w:r>
      <w:r w:rsidR="00673829">
        <w:rPr>
          <w:b/>
          <w:sz w:val="24"/>
          <w:szCs w:val="24"/>
          <w:lang w:eastAsia="es-ES_tradnl"/>
        </w:rPr>
        <w:t xml:space="preserve"> pesos con 00/1009) lo que representa un aumento</w:t>
      </w:r>
      <w:r w:rsidR="00C867B8">
        <w:rPr>
          <w:b/>
          <w:sz w:val="24"/>
          <w:szCs w:val="24"/>
          <w:lang w:eastAsia="es-ES_tradnl"/>
        </w:rPr>
        <w:t xml:space="preserve"> de RD$24,363,843.00( veinti</w:t>
      </w:r>
      <w:r w:rsidR="00673829">
        <w:rPr>
          <w:b/>
          <w:sz w:val="24"/>
          <w:szCs w:val="24"/>
          <w:lang w:eastAsia="es-ES_tradnl"/>
        </w:rPr>
        <w:t>cuatro millones, trescientos sesenta y tres mil ochocientos cuarenta y tres pesos</w:t>
      </w:r>
      <w:r w:rsidR="00A71507">
        <w:rPr>
          <w:b/>
          <w:sz w:val="24"/>
          <w:szCs w:val="24"/>
          <w:lang w:eastAsia="es-ES_tradnl"/>
        </w:rPr>
        <w:t xml:space="preserve"> con 00/100), en relación al 2016, donde alcanzaron RD$135,812,986.00 (ciento treinta y cinco millones, ochocientos doce mil novecientos ochenta y seis pesos con 00/1100)</w:t>
      </w:r>
    </w:p>
    <w:p w:rsidR="00B55DD3" w:rsidRDefault="00B55DD3" w:rsidP="0072722B">
      <w:pPr>
        <w:spacing w:line="360" w:lineRule="auto"/>
        <w:jc w:val="both"/>
        <w:rPr>
          <w:sz w:val="24"/>
          <w:szCs w:val="24"/>
        </w:rPr>
      </w:pPr>
    </w:p>
    <w:p w:rsidR="007E2CE9" w:rsidRDefault="007E2CE9" w:rsidP="00A3356E">
      <w:pPr>
        <w:jc w:val="both"/>
        <w:rPr>
          <w:sz w:val="24"/>
          <w:szCs w:val="24"/>
          <w:lang w:val="es-ES"/>
        </w:rPr>
      </w:pPr>
    </w:p>
    <w:tbl>
      <w:tblPr>
        <w:tblpPr w:leftFromText="141" w:rightFromText="141" w:vertAnchor="page" w:horzAnchor="margin" w:tblpY="1681"/>
        <w:tblOverlap w:val="never"/>
        <w:tblW w:w="8780" w:type="dxa"/>
        <w:tblCellMar>
          <w:left w:w="70" w:type="dxa"/>
          <w:right w:w="70" w:type="dxa"/>
        </w:tblCellMar>
        <w:tblLook w:val="04A0"/>
      </w:tblPr>
      <w:tblGrid>
        <w:gridCol w:w="1420"/>
        <w:gridCol w:w="2760"/>
        <w:gridCol w:w="2280"/>
        <w:gridCol w:w="2320"/>
      </w:tblGrid>
      <w:tr w:rsidR="00FB5CE6" w:rsidRPr="00E52CF2" w:rsidTr="00FB5CE6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5CE6" w:rsidRPr="00E52CF2" w:rsidRDefault="00FB5CE6" w:rsidP="00FB5C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52CF2">
              <w:rPr>
                <w:b/>
                <w:bCs/>
                <w:color w:val="000000"/>
                <w:sz w:val="24"/>
                <w:szCs w:val="24"/>
                <w:lang w:val="es-ES"/>
              </w:rPr>
              <w:t>PRIMAS NETAS Y EXONERADAS</w:t>
            </w:r>
          </w:p>
        </w:tc>
      </w:tr>
      <w:tr w:rsidR="00FB5CE6" w:rsidRPr="00E52CF2" w:rsidTr="00FB5CE6">
        <w:trPr>
          <w:trHeight w:val="315"/>
        </w:trPr>
        <w:tc>
          <w:tcPr>
            <w:tcW w:w="8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Cuadro No.1</w:t>
            </w:r>
          </w:p>
        </w:tc>
      </w:tr>
      <w:tr w:rsidR="00FB5CE6" w:rsidRPr="00E52CF2" w:rsidTr="00FB5CE6">
        <w:trPr>
          <w:trHeight w:val="103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5CE6" w:rsidRPr="00E52CF2" w:rsidRDefault="00FB5CE6" w:rsidP="00FB5C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52CF2">
              <w:rPr>
                <w:b/>
                <w:bCs/>
                <w:color w:val="000000"/>
                <w:sz w:val="24"/>
                <w:szCs w:val="24"/>
                <w:lang w:val="es-ES"/>
              </w:rPr>
              <w:t>MESES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5CE6" w:rsidRPr="00E52CF2" w:rsidRDefault="00FB5CE6" w:rsidP="00FB5C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52CF2">
              <w:rPr>
                <w:b/>
                <w:bCs/>
                <w:color w:val="000000"/>
                <w:sz w:val="24"/>
                <w:szCs w:val="24"/>
                <w:lang w:val="es-ES"/>
              </w:rPr>
              <w:t>PRIMAS NETAS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5CE6" w:rsidRPr="00E52CF2" w:rsidRDefault="00FB5CE6" w:rsidP="00FB5C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52CF2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PRIMAS EXONERADAS 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B5CE6" w:rsidRPr="00E52CF2" w:rsidRDefault="00FB5CE6" w:rsidP="00FB5CE6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E52CF2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TOTALES PRIMAS NETAS Y EXONERADAS 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E6" w:rsidRPr="00E52CF2" w:rsidRDefault="00FB5CE6" w:rsidP="00FB5CE6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E6" w:rsidRPr="00E52CF2" w:rsidRDefault="00FB5CE6" w:rsidP="00FB5CE6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E6" w:rsidRPr="00E52CF2" w:rsidRDefault="00FB5CE6" w:rsidP="00FB5CE6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E6" w:rsidRPr="00E52CF2" w:rsidRDefault="00FB5CE6" w:rsidP="00FB5CE6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2,711,191,844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903,730,615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3,614,922,458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2,583,363,437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861,121,146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3,444,484,582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3,340,494,709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1,113,498,236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4,453,992,945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2,803,718,062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934,572,697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3,738,290,749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Mayo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3,369,494,937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1,123,164,979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4,492,659,917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3,053,621,821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1,017,873,940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4,071,495,761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3,138,341,676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1,046,113,892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4,184,455,568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3,164,158,215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1,056,719,405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4,218,877,621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3,205,588,162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1,068,529,387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4,274,117,549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2,691,402,275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897,134,092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3,588,536,367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2,653,678,642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884,559,547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3,538,238,189</w:t>
            </w:r>
          </w:p>
        </w:tc>
      </w:tr>
      <w:tr w:rsidR="00FB5CE6" w:rsidRPr="00E52CF2" w:rsidTr="00FB5CE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3,373,276,571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1,124,425,524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4,497,702,095</w:t>
            </w:r>
          </w:p>
        </w:tc>
      </w:tr>
      <w:tr w:rsidR="00FB5CE6" w:rsidRPr="00E52CF2" w:rsidTr="00FB5CE6">
        <w:trPr>
          <w:trHeight w:val="69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B5CE6" w:rsidRPr="00E52CF2" w:rsidRDefault="00FB5CE6" w:rsidP="00FB5CE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52C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Totales RD$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  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36,088,330,351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12,029,443,450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FB5CE6" w:rsidRPr="00E52CF2" w:rsidRDefault="00FB5CE6" w:rsidP="00FB5CE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48,117,773,801</w:t>
            </w:r>
          </w:p>
        </w:tc>
      </w:tr>
    </w:tbl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552C61" w:rsidRDefault="00552C61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4137BD" w:rsidRDefault="004137BD" w:rsidP="004137BD">
      <w:pPr>
        <w:jc w:val="both"/>
        <w:rPr>
          <w:sz w:val="24"/>
          <w:szCs w:val="24"/>
          <w:lang w:val="es-ES"/>
        </w:rPr>
      </w:pPr>
    </w:p>
    <w:p w:rsidR="004137BD" w:rsidRPr="00CC09A2" w:rsidRDefault="004137BD" w:rsidP="003E357A">
      <w:pPr>
        <w:spacing w:line="360" w:lineRule="auto"/>
        <w:jc w:val="both"/>
        <w:rPr>
          <w:sz w:val="24"/>
          <w:szCs w:val="24"/>
          <w:lang w:val="es-ES"/>
        </w:rPr>
      </w:pPr>
    </w:p>
    <w:p w:rsidR="00A71507" w:rsidRDefault="00A71507" w:rsidP="00FB5CE6">
      <w:pPr>
        <w:jc w:val="both"/>
        <w:rPr>
          <w:sz w:val="24"/>
          <w:szCs w:val="24"/>
          <w:lang w:val="es-ES"/>
        </w:rPr>
      </w:pPr>
    </w:p>
    <w:p w:rsidR="00A71507" w:rsidRDefault="00A71507" w:rsidP="00BD76A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cuanto al posicionamiento en el mercado asegurador</w:t>
      </w:r>
      <w:r w:rsidR="00FB5CE6">
        <w:rPr>
          <w:sz w:val="24"/>
          <w:szCs w:val="24"/>
          <w:lang w:val="es-ES"/>
        </w:rPr>
        <w:t xml:space="preserve"> dominicano</w:t>
      </w:r>
      <w:r>
        <w:rPr>
          <w:sz w:val="24"/>
          <w:szCs w:val="24"/>
          <w:lang w:val="es-ES"/>
        </w:rPr>
        <w:t>, se presento el siguiente orden:</w:t>
      </w:r>
    </w:p>
    <w:p w:rsidR="00A71507" w:rsidRDefault="00A71507" w:rsidP="00BD76A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Seguros universal </w:t>
      </w:r>
      <w:r w:rsidR="00C867B8">
        <w:rPr>
          <w:sz w:val="24"/>
          <w:szCs w:val="24"/>
          <w:lang w:val="es-ES"/>
        </w:rPr>
        <w:t xml:space="preserve">S.A., Seguros </w:t>
      </w:r>
      <w:r w:rsidR="00FB5CE6" w:rsidRPr="00FB5CE6">
        <w:rPr>
          <w:sz w:val="24"/>
          <w:szCs w:val="24"/>
          <w:lang w:val="es-ES"/>
        </w:rPr>
        <w:t>R</w:t>
      </w:r>
      <w:r w:rsidRPr="00FB5CE6">
        <w:rPr>
          <w:sz w:val="24"/>
          <w:szCs w:val="24"/>
          <w:lang w:val="es-ES"/>
        </w:rPr>
        <w:t>eservas</w:t>
      </w:r>
      <w:r w:rsidR="005E71F5" w:rsidRPr="00FB5CE6">
        <w:rPr>
          <w:sz w:val="24"/>
          <w:szCs w:val="24"/>
          <w:lang w:val="es-ES"/>
        </w:rPr>
        <w:t>,</w:t>
      </w:r>
      <w:r w:rsidR="005E71F5">
        <w:rPr>
          <w:sz w:val="24"/>
          <w:szCs w:val="24"/>
          <w:lang w:val="es-ES"/>
        </w:rPr>
        <w:t xml:space="preserve"> </w:t>
      </w:r>
      <w:r w:rsidR="00C867B8">
        <w:rPr>
          <w:sz w:val="24"/>
          <w:szCs w:val="24"/>
          <w:lang w:val="es-ES"/>
        </w:rPr>
        <w:t xml:space="preserve">S.A., </w:t>
      </w:r>
      <w:r w:rsidR="005E71F5">
        <w:rPr>
          <w:sz w:val="24"/>
          <w:szCs w:val="24"/>
          <w:lang w:val="es-ES"/>
        </w:rPr>
        <w:t>Mapfre</w:t>
      </w:r>
      <w:r w:rsidR="00DE350D">
        <w:rPr>
          <w:sz w:val="24"/>
          <w:szCs w:val="24"/>
          <w:lang w:val="es-ES"/>
        </w:rPr>
        <w:t xml:space="preserve"> BHD</w:t>
      </w:r>
      <w:r w:rsidR="00055F8F">
        <w:rPr>
          <w:sz w:val="24"/>
          <w:szCs w:val="24"/>
          <w:lang w:val="es-ES"/>
        </w:rPr>
        <w:t xml:space="preserve"> Compañía</w:t>
      </w:r>
      <w:r w:rsidR="00DE350D">
        <w:rPr>
          <w:sz w:val="24"/>
          <w:szCs w:val="24"/>
          <w:lang w:val="es-ES"/>
        </w:rPr>
        <w:t xml:space="preserve"> de </w:t>
      </w:r>
      <w:r w:rsidR="00055F8F">
        <w:rPr>
          <w:sz w:val="24"/>
          <w:szCs w:val="24"/>
          <w:lang w:val="es-ES"/>
        </w:rPr>
        <w:t>S</w:t>
      </w:r>
      <w:r w:rsidR="00DE350D">
        <w:rPr>
          <w:sz w:val="24"/>
          <w:szCs w:val="24"/>
          <w:lang w:val="es-ES"/>
        </w:rPr>
        <w:t xml:space="preserve">eguros, </w:t>
      </w:r>
      <w:r w:rsidR="00C867B8">
        <w:rPr>
          <w:sz w:val="24"/>
          <w:szCs w:val="24"/>
          <w:lang w:val="es-ES"/>
        </w:rPr>
        <w:t xml:space="preserve">S.A., </w:t>
      </w:r>
      <w:r w:rsidR="00055F8F">
        <w:rPr>
          <w:sz w:val="24"/>
          <w:szCs w:val="24"/>
          <w:lang w:val="es-ES"/>
        </w:rPr>
        <w:t>Humano S</w:t>
      </w:r>
      <w:r w:rsidR="00DE350D">
        <w:rPr>
          <w:sz w:val="24"/>
          <w:szCs w:val="24"/>
          <w:lang w:val="es-ES"/>
        </w:rPr>
        <w:t xml:space="preserve">eguros, </w:t>
      </w:r>
      <w:r w:rsidR="00C867B8">
        <w:rPr>
          <w:sz w:val="24"/>
          <w:szCs w:val="24"/>
          <w:lang w:val="es-ES"/>
        </w:rPr>
        <w:t>S.A</w:t>
      </w:r>
      <w:r w:rsidR="00DE350D">
        <w:rPr>
          <w:sz w:val="24"/>
          <w:szCs w:val="24"/>
          <w:lang w:val="es-ES"/>
        </w:rPr>
        <w:t xml:space="preserve">., La </w:t>
      </w:r>
      <w:r w:rsidR="00055F8F">
        <w:rPr>
          <w:sz w:val="24"/>
          <w:szCs w:val="24"/>
          <w:lang w:val="es-ES"/>
        </w:rPr>
        <w:t>C</w:t>
      </w:r>
      <w:r w:rsidR="00DE350D">
        <w:rPr>
          <w:sz w:val="24"/>
          <w:szCs w:val="24"/>
          <w:lang w:val="es-ES"/>
        </w:rPr>
        <w:t xml:space="preserve">olonial de </w:t>
      </w:r>
      <w:r w:rsidR="00055F8F">
        <w:rPr>
          <w:sz w:val="24"/>
          <w:szCs w:val="24"/>
          <w:lang w:val="es-ES"/>
        </w:rPr>
        <w:t>S</w:t>
      </w:r>
      <w:r w:rsidR="00DE350D">
        <w:rPr>
          <w:sz w:val="24"/>
          <w:szCs w:val="24"/>
          <w:lang w:val="es-ES"/>
        </w:rPr>
        <w:t>eguros</w:t>
      </w:r>
      <w:r w:rsidR="005E71F5">
        <w:rPr>
          <w:sz w:val="24"/>
          <w:szCs w:val="24"/>
          <w:lang w:val="es-ES"/>
        </w:rPr>
        <w:t xml:space="preserve">, </w:t>
      </w:r>
      <w:r w:rsidR="00C867B8">
        <w:rPr>
          <w:sz w:val="24"/>
          <w:szCs w:val="24"/>
          <w:lang w:val="es-ES"/>
        </w:rPr>
        <w:t xml:space="preserve">S.A., </w:t>
      </w:r>
      <w:r w:rsidR="00DE350D">
        <w:rPr>
          <w:sz w:val="24"/>
          <w:szCs w:val="24"/>
          <w:lang w:val="es-ES"/>
        </w:rPr>
        <w:t xml:space="preserve">Seguros Sura, </w:t>
      </w:r>
      <w:r w:rsidR="00C867B8">
        <w:rPr>
          <w:sz w:val="24"/>
          <w:szCs w:val="24"/>
          <w:lang w:val="es-ES"/>
        </w:rPr>
        <w:t xml:space="preserve">S.A. </w:t>
      </w:r>
      <w:r w:rsidR="005E71F5">
        <w:rPr>
          <w:sz w:val="24"/>
          <w:szCs w:val="24"/>
          <w:lang w:val="es-ES"/>
        </w:rPr>
        <w:t>(</w:t>
      </w:r>
      <w:r w:rsidR="00DE350D">
        <w:rPr>
          <w:sz w:val="24"/>
          <w:szCs w:val="24"/>
          <w:lang w:val="es-ES"/>
        </w:rPr>
        <w:t xml:space="preserve">ver cuadro </w:t>
      </w:r>
      <w:r w:rsidR="00321121">
        <w:rPr>
          <w:sz w:val="24"/>
          <w:szCs w:val="24"/>
          <w:lang w:val="es-ES"/>
        </w:rPr>
        <w:t>N</w:t>
      </w:r>
      <w:r w:rsidR="004A41B3">
        <w:rPr>
          <w:sz w:val="24"/>
          <w:szCs w:val="24"/>
          <w:lang w:val="es-ES"/>
        </w:rPr>
        <w:t>o.6</w:t>
      </w:r>
      <w:r w:rsidR="00321121">
        <w:rPr>
          <w:sz w:val="24"/>
          <w:szCs w:val="24"/>
          <w:lang w:val="es-ES"/>
        </w:rPr>
        <w:t>, anexo</w:t>
      </w:r>
      <w:r w:rsidR="004A41B3">
        <w:rPr>
          <w:sz w:val="24"/>
          <w:szCs w:val="24"/>
          <w:lang w:val="es-ES"/>
        </w:rPr>
        <w:t>)</w:t>
      </w:r>
    </w:p>
    <w:p w:rsidR="00DE350D" w:rsidRDefault="00DE350D" w:rsidP="00BD76A5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DE350D" w:rsidP="004137B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impuestos </w:t>
      </w:r>
      <w:r w:rsidR="005E71F5">
        <w:rPr>
          <w:sz w:val="24"/>
          <w:szCs w:val="24"/>
          <w:lang w:val="es-ES"/>
        </w:rPr>
        <w:t>liquidados en</w:t>
      </w:r>
      <w:r>
        <w:rPr>
          <w:sz w:val="24"/>
          <w:szCs w:val="24"/>
          <w:lang w:val="es-ES"/>
        </w:rPr>
        <w:t xml:space="preserve"> el periodo enero-diciembre 2017, se proceso un total de  trescientos veintidós </w:t>
      </w:r>
      <w:r w:rsidR="00260A6F">
        <w:rPr>
          <w:sz w:val="24"/>
          <w:szCs w:val="24"/>
          <w:lang w:val="es-ES"/>
        </w:rPr>
        <w:t>liquidaciones (</w:t>
      </w:r>
      <w:r>
        <w:rPr>
          <w:sz w:val="24"/>
          <w:szCs w:val="24"/>
          <w:lang w:val="es-ES"/>
        </w:rPr>
        <w:t>322) de impuestos sobre primas netas cobradas por un monto de RD$</w:t>
      </w:r>
      <w:r w:rsidR="00C867B8">
        <w:rPr>
          <w:sz w:val="24"/>
          <w:szCs w:val="24"/>
          <w:lang w:val="es-ES"/>
        </w:rPr>
        <w:t>5,774,132,850</w:t>
      </w:r>
      <w:r w:rsidR="009B4B69">
        <w:rPr>
          <w:sz w:val="24"/>
          <w:szCs w:val="24"/>
          <w:lang w:val="es-ES"/>
        </w:rPr>
        <w:t>.00</w:t>
      </w:r>
      <w:r w:rsidR="00694020">
        <w:rPr>
          <w:sz w:val="24"/>
          <w:szCs w:val="24"/>
          <w:lang w:val="es-ES"/>
        </w:rPr>
        <w:t xml:space="preserve"> </w:t>
      </w:r>
      <w:r w:rsidR="009B4B69">
        <w:rPr>
          <w:sz w:val="24"/>
          <w:szCs w:val="24"/>
          <w:lang w:val="es-ES"/>
        </w:rPr>
        <w:t>(</w:t>
      </w:r>
      <w:r w:rsidR="00C867B8">
        <w:rPr>
          <w:sz w:val="24"/>
          <w:szCs w:val="24"/>
          <w:lang w:val="es-ES"/>
        </w:rPr>
        <w:t>cinco millones setecientos setenta y cuatro</w:t>
      </w:r>
      <w:r w:rsidR="009B4B69">
        <w:rPr>
          <w:sz w:val="24"/>
          <w:szCs w:val="24"/>
          <w:lang w:val="es-ES"/>
        </w:rPr>
        <w:t xml:space="preserve">, </w:t>
      </w:r>
      <w:r w:rsidR="00260A6F">
        <w:rPr>
          <w:sz w:val="24"/>
          <w:szCs w:val="24"/>
          <w:lang w:val="es-ES"/>
        </w:rPr>
        <w:t>ciento treinta y dos mil ochocientos cincuenta con 00</w:t>
      </w:r>
      <w:r w:rsidR="009B4B69">
        <w:rPr>
          <w:sz w:val="24"/>
          <w:szCs w:val="24"/>
          <w:lang w:val="es-ES"/>
        </w:rPr>
        <w:t>/100).</w:t>
      </w:r>
      <w:r w:rsidR="00D54A93">
        <w:rPr>
          <w:sz w:val="24"/>
          <w:szCs w:val="24"/>
          <w:lang w:val="es-ES"/>
        </w:rPr>
        <w:t xml:space="preserve"> </w:t>
      </w:r>
      <w:r w:rsidR="00694020">
        <w:rPr>
          <w:sz w:val="24"/>
          <w:szCs w:val="24"/>
          <w:lang w:val="es-ES"/>
        </w:rPr>
        <w:t>Ver cuadro No.2.</w:t>
      </w:r>
      <w:r w:rsidR="00D54A93">
        <w:rPr>
          <w:sz w:val="24"/>
          <w:szCs w:val="24"/>
          <w:lang w:val="es-ES"/>
        </w:rPr>
        <w:t xml:space="preserve">   </w:t>
      </w:r>
    </w:p>
    <w:p w:rsidR="004137BD" w:rsidRDefault="004137BD" w:rsidP="004137BD">
      <w:pPr>
        <w:spacing w:line="360" w:lineRule="auto"/>
        <w:jc w:val="both"/>
        <w:rPr>
          <w:sz w:val="24"/>
          <w:szCs w:val="24"/>
          <w:lang w:val="es-ES"/>
        </w:rPr>
      </w:pPr>
    </w:p>
    <w:tbl>
      <w:tblPr>
        <w:tblW w:w="5268" w:type="dxa"/>
        <w:tblInd w:w="1890" w:type="dxa"/>
        <w:tblCellMar>
          <w:left w:w="70" w:type="dxa"/>
          <w:right w:w="70" w:type="dxa"/>
        </w:tblCellMar>
        <w:tblLook w:val="04A0"/>
      </w:tblPr>
      <w:tblGrid>
        <w:gridCol w:w="2620"/>
        <w:gridCol w:w="2648"/>
      </w:tblGrid>
      <w:tr w:rsidR="004137BD" w:rsidRPr="00974EDD" w:rsidTr="00461893">
        <w:trPr>
          <w:trHeight w:val="315"/>
        </w:trPr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4137BD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B5CE6" w:rsidRDefault="00FB5CE6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4137B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4137B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4137BD" w:rsidRPr="00974ED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IMPUESTOS LIQUIDADOS</w:t>
            </w:r>
          </w:p>
        </w:tc>
      </w:tr>
      <w:tr w:rsidR="004137BD" w:rsidRPr="00974EDD" w:rsidTr="00461893">
        <w:trPr>
          <w:trHeight w:val="315"/>
        </w:trPr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Durante el periodo Enero-Dicie</w:t>
            </w: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mbre 2016</w:t>
            </w:r>
          </w:p>
        </w:tc>
      </w:tr>
      <w:tr w:rsidR="004137BD" w:rsidRPr="00974EDD" w:rsidTr="00461893">
        <w:trPr>
          <w:trHeight w:val="315"/>
        </w:trPr>
        <w:tc>
          <w:tcPr>
            <w:tcW w:w="5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7BD" w:rsidRPr="00974ED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Cuadro No</w:t>
            </w:r>
            <w:r>
              <w:rPr>
                <w:b/>
                <w:bCs/>
                <w:color w:val="000000"/>
                <w:sz w:val="24"/>
                <w:szCs w:val="24"/>
                <w:lang w:val="es-ES"/>
              </w:rPr>
              <w:t>.2</w:t>
            </w:r>
          </w:p>
        </w:tc>
      </w:tr>
      <w:tr w:rsidR="004137BD" w:rsidRPr="00974EDD" w:rsidTr="00461893">
        <w:trPr>
          <w:trHeight w:val="55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137BD" w:rsidRPr="00974ED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>MESES</w:t>
            </w:r>
          </w:p>
        </w:tc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137BD" w:rsidRPr="00974EDD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974EDD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MONTO 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BD" w:rsidRPr="00974EDD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BD" w:rsidRPr="00974EDD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Enero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433,790,695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413,338,149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534,479,153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448,594,889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Mayo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539,119,189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488,579,491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502,134,668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506,265,314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512,894,105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Octubre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430,624,364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Noviembre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424,588,582</w:t>
            </w:r>
          </w:p>
        </w:tc>
      </w:tr>
      <w:tr w:rsidR="004137BD" w:rsidRPr="00974EDD" w:rsidTr="004618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Diciembre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539,724,251</w:t>
            </w:r>
          </w:p>
        </w:tc>
      </w:tr>
      <w:tr w:rsidR="004137BD" w:rsidRPr="00974EDD" w:rsidTr="00461893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37BD" w:rsidRPr="00974EDD" w:rsidRDefault="004137BD" w:rsidP="0046189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97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RD$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37BD" w:rsidRPr="00974EDD" w:rsidRDefault="004137BD" w:rsidP="0046189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5,774,132,850</w:t>
            </w:r>
            <w:r w:rsidRPr="0097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            </w:t>
            </w:r>
            <w:r w:rsidRPr="00974E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  </w:t>
            </w:r>
          </w:p>
        </w:tc>
      </w:tr>
    </w:tbl>
    <w:p w:rsidR="004137BD" w:rsidRDefault="004137BD" w:rsidP="004137BD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312472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15301E" w:rsidRDefault="00091105" w:rsidP="00091105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64556E">
        <w:rPr>
          <w:sz w:val="24"/>
          <w:szCs w:val="24"/>
          <w:lang w:val="es-ES"/>
        </w:rPr>
        <w:t>Se concluyeron</w:t>
      </w:r>
      <w:r w:rsidRPr="00C664C3">
        <w:rPr>
          <w:sz w:val="24"/>
          <w:szCs w:val="24"/>
          <w:lang w:val="es-ES"/>
        </w:rPr>
        <w:t xml:space="preserve"> </w:t>
      </w:r>
      <w:r w:rsidR="007E57C0">
        <w:rPr>
          <w:sz w:val="24"/>
          <w:szCs w:val="24"/>
          <w:lang w:val="es-ES"/>
        </w:rPr>
        <w:t>veintinueve (29</w:t>
      </w:r>
      <w:r>
        <w:rPr>
          <w:sz w:val="24"/>
          <w:szCs w:val="24"/>
          <w:lang w:val="es-ES"/>
        </w:rPr>
        <w:t xml:space="preserve">) inspecciones hechas a las compañías de seguros, arrojando una prima neta pendiente </w:t>
      </w:r>
      <w:r w:rsidRPr="0041043A">
        <w:rPr>
          <w:color w:val="000000"/>
          <w:sz w:val="24"/>
          <w:szCs w:val="24"/>
          <w:lang w:val="es-ES"/>
        </w:rPr>
        <w:t xml:space="preserve">por reportar </w:t>
      </w:r>
      <w:r>
        <w:rPr>
          <w:color w:val="000000"/>
          <w:sz w:val="24"/>
          <w:szCs w:val="24"/>
          <w:lang w:val="es-ES"/>
        </w:rPr>
        <w:t>por</w:t>
      </w:r>
      <w:r w:rsidRPr="0041043A">
        <w:rPr>
          <w:color w:val="000000"/>
          <w:sz w:val="24"/>
          <w:szCs w:val="24"/>
          <w:lang w:val="es-ES"/>
        </w:rPr>
        <w:t xml:space="preserve"> la suma</w:t>
      </w:r>
      <w:r>
        <w:rPr>
          <w:sz w:val="24"/>
          <w:szCs w:val="24"/>
          <w:lang w:val="es-ES"/>
        </w:rPr>
        <w:t xml:space="preserve"> de </w:t>
      </w:r>
      <w:r w:rsidR="00D54A93">
        <w:rPr>
          <w:b/>
          <w:sz w:val="24"/>
          <w:szCs w:val="24"/>
          <w:lang w:val="es-ES"/>
        </w:rPr>
        <w:t>RD$138,553.96</w:t>
      </w:r>
      <w:r w:rsidR="003913B7">
        <w:rPr>
          <w:b/>
          <w:sz w:val="24"/>
          <w:szCs w:val="24"/>
          <w:lang w:val="es-ES"/>
        </w:rPr>
        <w:t xml:space="preserve"> (ciento treinta y ocho mil quinientos cincuenta y tres pesos con 96/100)</w:t>
      </w:r>
    </w:p>
    <w:p w:rsidR="00091105" w:rsidRDefault="00091105" w:rsidP="00091105">
      <w:pPr>
        <w:spacing w:line="360" w:lineRule="auto"/>
        <w:jc w:val="both"/>
        <w:rPr>
          <w:b/>
          <w:sz w:val="16"/>
          <w:szCs w:val="16"/>
          <w:lang w:val="es-ES"/>
        </w:rPr>
      </w:pPr>
    </w:p>
    <w:p w:rsidR="00091105" w:rsidRDefault="003913B7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Recibimos ciento treinta (130</w:t>
      </w:r>
      <w:r w:rsidR="00091105">
        <w:rPr>
          <w:sz w:val="24"/>
          <w:szCs w:val="24"/>
          <w:lang w:eastAsia="es-ES_tradnl"/>
        </w:rPr>
        <w:t>) reportes de comisiones recibidas por los corredores de segu</w:t>
      </w:r>
      <w:r>
        <w:rPr>
          <w:sz w:val="24"/>
          <w:szCs w:val="24"/>
          <w:lang w:eastAsia="es-ES_tradnl"/>
        </w:rPr>
        <w:t>ros, correspondiente al año 2016</w:t>
      </w:r>
      <w:r w:rsidR="00091105">
        <w:rPr>
          <w:sz w:val="24"/>
          <w:szCs w:val="24"/>
          <w:lang w:eastAsia="es-ES_tradnl"/>
        </w:rPr>
        <w:t xml:space="preserve"> tramitándose  al departamento correspondiente.</w:t>
      </w:r>
    </w:p>
    <w:p w:rsidR="00091105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091105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Recibimos </w:t>
      </w:r>
      <w:r w:rsidRPr="00F94672">
        <w:rPr>
          <w:sz w:val="24"/>
          <w:szCs w:val="24"/>
          <w:lang w:eastAsia="es-ES_tradnl"/>
        </w:rPr>
        <w:t>cuatro (4)</w:t>
      </w:r>
      <w:r>
        <w:rPr>
          <w:sz w:val="24"/>
          <w:szCs w:val="24"/>
          <w:lang w:eastAsia="es-ES_tradnl"/>
        </w:rPr>
        <w:t xml:space="preserve"> reportes de compañías de seguros, informando las comisiones pagadas a los corr</w:t>
      </w:r>
      <w:r w:rsidR="00806709">
        <w:rPr>
          <w:sz w:val="24"/>
          <w:szCs w:val="24"/>
          <w:lang w:eastAsia="es-ES_tradnl"/>
        </w:rPr>
        <w:t>edores de seguros</w:t>
      </w:r>
      <w:r>
        <w:rPr>
          <w:sz w:val="24"/>
          <w:szCs w:val="24"/>
          <w:lang w:eastAsia="es-ES_tradnl"/>
        </w:rPr>
        <w:t>, las cuales detallamos a continuación:</w:t>
      </w:r>
    </w:p>
    <w:p w:rsidR="00B27BCA" w:rsidRDefault="00B27BCA" w:rsidP="00091105">
      <w:pPr>
        <w:spacing w:line="360" w:lineRule="auto"/>
        <w:rPr>
          <w:b/>
          <w:sz w:val="24"/>
          <w:szCs w:val="24"/>
          <w:lang w:eastAsia="es-ES_tradnl"/>
        </w:rPr>
      </w:pPr>
    </w:p>
    <w:p w:rsidR="00091105" w:rsidRPr="00F566C6" w:rsidRDefault="00091105" w:rsidP="00091105">
      <w:pPr>
        <w:spacing w:line="360" w:lineRule="auto"/>
        <w:rPr>
          <w:b/>
          <w:sz w:val="24"/>
          <w:szCs w:val="24"/>
          <w:u w:val="single"/>
          <w:lang w:eastAsia="es-ES_tradnl"/>
        </w:rPr>
      </w:pPr>
      <w:r w:rsidRPr="00F566C6">
        <w:rPr>
          <w:b/>
          <w:sz w:val="24"/>
          <w:szCs w:val="24"/>
          <w:lang w:eastAsia="es-ES_tradnl"/>
        </w:rPr>
        <w:t>Compañías</w:t>
      </w:r>
      <w:r w:rsidRPr="00F566C6">
        <w:rPr>
          <w:b/>
          <w:sz w:val="24"/>
          <w:szCs w:val="24"/>
          <w:lang w:eastAsia="es-ES_tradnl"/>
        </w:rPr>
        <w:tab/>
      </w:r>
      <w:r>
        <w:rPr>
          <w:b/>
          <w:sz w:val="24"/>
          <w:szCs w:val="24"/>
          <w:lang w:eastAsia="es-ES_tradnl"/>
        </w:rPr>
        <w:tab/>
      </w:r>
      <w:r>
        <w:rPr>
          <w:b/>
          <w:sz w:val="24"/>
          <w:szCs w:val="24"/>
          <w:lang w:eastAsia="es-ES_tradnl"/>
        </w:rPr>
        <w:tab/>
      </w:r>
      <w:r>
        <w:rPr>
          <w:b/>
          <w:sz w:val="24"/>
          <w:szCs w:val="24"/>
          <w:lang w:eastAsia="es-ES_tradnl"/>
        </w:rPr>
        <w:tab/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Angloamericana d</w:t>
      </w:r>
      <w:r w:rsidR="003913B7">
        <w:rPr>
          <w:sz w:val="24"/>
          <w:szCs w:val="24"/>
          <w:lang w:eastAsia="es-ES_tradnl"/>
        </w:rPr>
        <w:t>e Seguros</w:t>
      </w:r>
      <w:r w:rsidR="00806709">
        <w:rPr>
          <w:sz w:val="24"/>
          <w:szCs w:val="24"/>
          <w:lang w:eastAsia="es-ES_tradnl"/>
        </w:rPr>
        <w:t xml:space="preserve"> S.A.</w:t>
      </w:r>
      <w:r w:rsidR="003913B7">
        <w:rPr>
          <w:sz w:val="24"/>
          <w:szCs w:val="24"/>
          <w:lang w:eastAsia="es-ES_tradnl"/>
        </w:rPr>
        <w:tab/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Confederación de</w:t>
      </w:r>
      <w:r w:rsidR="007315B9">
        <w:rPr>
          <w:sz w:val="24"/>
          <w:szCs w:val="24"/>
          <w:lang w:eastAsia="es-ES_tradnl"/>
        </w:rPr>
        <w:t>l</w:t>
      </w:r>
      <w:r>
        <w:rPr>
          <w:sz w:val="24"/>
          <w:szCs w:val="24"/>
          <w:lang w:eastAsia="es-ES_tradnl"/>
        </w:rPr>
        <w:t xml:space="preserve"> Ca</w:t>
      </w:r>
      <w:r w:rsidR="003913B7">
        <w:rPr>
          <w:sz w:val="24"/>
          <w:szCs w:val="24"/>
          <w:lang w:eastAsia="es-ES_tradnl"/>
        </w:rPr>
        <w:t>nadá</w:t>
      </w:r>
      <w:r w:rsidR="0003508A">
        <w:rPr>
          <w:sz w:val="24"/>
          <w:szCs w:val="24"/>
          <w:lang w:eastAsia="es-ES_tradnl"/>
        </w:rPr>
        <w:t xml:space="preserve"> Dominicana</w:t>
      </w:r>
      <w:r w:rsidR="003913B7">
        <w:rPr>
          <w:sz w:val="24"/>
          <w:szCs w:val="24"/>
          <w:lang w:eastAsia="es-ES_tradnl"/>
        </w:rPr>
        <w:t>, S.A.</w:t>
      </w:r>
      <w:r w:rsidR="003913B7">
        <w:rPr>
          <w:sz w:val="24"/>
          <w:szCs w:val="24"/>
          <w:lang w:eastAsia="es-ES_tradnl"/>
        </w:rPr>
        <w:tab/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Seguros Patr</w:t>
      </w:r>
      <w:r w:rsidR="003913B7">
        <w:rPr>
          <w:sz w:val="24"/>
          <w:szCs w:val="24"/>
          <w:lang w:eastAsia="es-ES_tradnl"/>
        </w:rPr>
        <w:t>ia, S.A.</w:t>
      </w:r>
      <w:r w:rsidR="003913B7">
        <w:rPr>
          <w:sz w:val="24"/>
          <w:szCs w:val="24"/>
          <w:lang w:eastAsia="es-ES_tradnl"/>
        </w:rPr>
        <w:tab/>
      </w:r>
      <w:r w:rsidR="003913B7">
        <w:rPr>
          <w:sz w:val="24"/>
          <w:szCs w:val="24"/>
          <w:lang w:eastAsia="es-ES_tradnl"/>
        </w:rPr>
        <w:tab/>
      </w:r>
      <w:r w:rsidR="003913B7">
        <w:rPr>
          <w:sz w:val="24"/>
          <w:szCs w:val="24"/>
          <w:lang w:eastAsia="es-ES_tradnl"/>
        </w:rPr>
        <w:tab/>
      </w:r>
    </w:p>
    <w:p w:rsidR="00091105" w:rsidRPr="00547859" w:rsidRDefault="00091105" w:rsidP="00091105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 xml:space="preserve">General de </w:t>
      </w:r>
      <w:r w:rsidR="003913B7">
        <w:rPr>
          <w:sz w:val="24"/>
          <w:szCs w:val="24"/>
          <w:lang w:eastAsia="es-ES_tradnl"/>
        </w:rPr>
        <w:t>Seguros, S.A.</w:t>
      </w:r>
      <w:r w:rsidR="003913B7">
        <w:rPr>
          <w:sz w:val="24"/>
          <w:szCs w:val="24"/>
          <w:lang w:eastAsia="es-ES_tradnl"/>
        </w:rPr>
        <w:tab/>
      </w:r>
      <w:r w:rsidR="003913B7">
        <w:rPr>
          <w:sz w:val="24"/>
          <w:szCs w:val="24"/>
          <w:lang w:eastAsia="es-ES_tradnl"/>
        </w:rPr>
        <w:tab/>
      </w:r>
    </w:p>
    <w:p w:rsidR="00091105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E467C0" w:rsidRDefault="00091105" w:rsidP="00091105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E467C0">
        <w:rPr>
          <w:sz w:val="24"/>
          <w:szCs w:val="24"/>
          <w:lang w:val="es-ES"/>
        </w:rPr>
        <w:t>D</w:t>
      </w:r>
      <w:r w:rsidR="0024175F">
        <w:rPr>
          <w:sz w:val="24"/>
          <w:szCs w:val="24"/>
          <w:lang w:val="es-ES"/>
        </w:rPr>
        <w:t xml:space="preserve">urante el período </w:t>
      </w:r>
      <w:r w:rsidRPr="00E467C0">
        <w:rPr>
          <w:sz w:val="24"/>
          <w:szCs w:val="24"/>
          <w:lang w:val="es-ES"/>
        </w:rPr>
        <w:t>la Superintendencia de Seguros</w:t>
      </w:r>
      <w:r>
        <w:rPr>
          <w:sz w:val="24"/>
          <w:szCs w:val="24"/>
          <w:lang w:val="es-ES"/>
        </w:rPr>
        <w:t xml:space="preserve"> impartió los </w:t>
      </w:r>
      <w:r w:rsidRPr="00E467C0">
        <w:rPr>
          <w:sz w:val="24"/>
          <w:szCs w:val="24"/>
          <w:lang w:val="es-ES"/>
        </w:rPr>
        <w:t xml:space="preserve">exámenes </w:t>
      </w:r>
      <w:r>
        <w:rPr>
          <w:sz w:val="24"/>
          <w:szCs w:val="24"/>
          <w:lang w:val="es-ES"/>
        </w:rPr>
        <w:t>que</w:t>
      </w:r>
      <w:r w:rsidRPr="00E467C0">
        <w:rPr>
          <w:sz w:val="24"/>
          <w:szCs w:val="24"/>
          <w:lang w:val="es-ES"/>
        </w:rPr>
        <w:t xml:space="preserve"> establece la Ley </w:t>
      </w:r>
      <w:r>
        <w:rPr>
          <w:sz w:val="24"/>
          <w:szCs w:val="24"/>
          <w:lang w:val="es-ES"/>
        </w:rPr>
        <w:t>No.</w:t>
      </w:r>
      <w:r w:rsidRPr="00E467C0">
        <w:rPr>
          <w:color w:val="000000"/>
          <w:sz w:val="24"/>
          <w:szCs w:val="24"/>
          <w:lang w:val="es-ES"/>
        </w:rPr>
        <w:t>146-02</w:t>
      </w:r>
      <w:r w:rsidRPr="00E467C0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Pr="00E467C0">
        <w:rPr>
          <w:sz w:val="24"/>
          <w:szCs w:val="24"/>
          <w:lang w:val="es-ES"/>
        </w:rPr>
        <w:t>a los aspirantes a intermediarios en el área de Seguros</w:t>
      </w:r>
      <w:r>
        <w:rPr>
          <w:sz w:val="24"/>
          <w:szCs w:val="24"/>
          <w:lang w:val="es-ES"/>
        </w:rPr>
        <w:t>, h</w:t>
      </w:r>
      <w:r w:rsidR="00C901C1">
        <w:rPr>
          <w:sz w:val="24"/>
          <w:szCs w:val="24"/>
          <w:lang w:val="es-ES"/>
        </w:rPr>
        <w:t>ab</w:t>
      </w:r>
      <w:r w:rsidR="00EF1E94">
        <w:rPr>
          <w:sz w:val="24"/>
          <w:szCs w:val="24"/>
          <w:lang w:val="es-ES"/>
        </w:rPr>
        <w:t>iendo recibido y canalizados</w:t>
      </w:r>
      <w:r w:rsidR="007E57C0">
        <w:rPr>
          <w:sz w:val="24"/>
          <w:szCs w:val="24"/>
          <w:lang w:val="es-ES"/>
        </w:rPr>
        <w:t xml:space="preserve">  novecientos treinta y cuatro (9</w:t>
      </w:r>
      <w:r w:rsidR="00260A6F">
        <w:rPr>
          <w:sz w:val="24"/>
          <w:szCs w:val="24"/>
          <w:lang w:val="es-ES"/>
        </w:rPr>
        <w:t>34</w:t>
      </w:r>
      <w:r w:rsidR="007E57C0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solicitudes de licencia y renovaciones de diferente tipos. </w:t>
      </w:r>
      <w:r w:rsidRPr="00E467C0">
        <w:rPr>
          <w:sz w:val="24"/>
          <w:szCs w:val="24"/>
          <w:lang w:val="es-ES"/>
        </w:rPr>
        <w:t xml:space="preserve"> </w:t>
      </w:r>
    </w:p>
    <w:p w:rsidR="00B27BCA" w:rsidRDefault="00B27BC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7315B9" w:rsidRDefault="007315B9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7315B9" w:rsidRDefault="007315B9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E467C0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  <w:r w:rsidRPr="00E467C0">
        <w:rPr>
          <w:sz w:val="24"/>
          <w:szCs w:val="24"/>
          <w:lang w:val="es-ES"/>
        </w:rPr>
        <w:lastRenderedPageBreak/>
        <w:t xml:space="preserve">Las certificaciones expedidas alcanzaron un total de </w:t>
      </w:r>
      <w:r w:rsidR="00C13C9B">
        <w:rPr>
          <w:sz w:val="24"/>
          <w:szCs w:val="24"/>
          <w:lang w:val="es-ES"/>
        </w:rPr>
        <w:t xml:space="preserve">cuatro </w:t>
      </w:r>
      <w:r w:rsidR="00C13C9B" w:rsidRPr="00E467C0">
        <w:rPr>
          <w:sz w:val="24"/>
          <w:szCs w:val="24"/>
          <w:lang w:val="es-ES"/>
        </w:rPr>
        <w:t>mil</w:t>
      </w:r>
      <w:r w:rsidR="00C13C9B">
        <w:rPr>
          <w:sz w:val="24"/>
          <w:szCs w:val="24"/>
          <w:lang w:val="es-ES"/>
        </w:rPr>
        <w:t xml:space="preserve"> setecientos setenta y uno </w:t>
      </w:r>
      <w:r w:rsidR="00C13C9B" w:rsidRPr="00E467C0">
        <w:rPr>
          <w:sz w:val="24"/>
          <w:szCs w:val="24"/>
          <w:lang w:val="es-ES"/>
        </w:rPr>
        <w:t xml:space="preserve"> (</w:t>
      </w:r>
      <w:r w:rsidR="00C13C9B">
        <w:rPr>
          <w:sz w:val="24"/>
          <w:szCs w:val="24"/>
          <w:lang w:val="es-ES"/>
        </w:rPr>
        <w:t>4</w:t>
      </w:r>
      <w:r w:rsidR="00C13C9B" w:rsidRPr="00E467C0">
        <w:rPr>
          <w:sz w:val="24"/>
          <w:szCs w:val="24"/>
          <w:lang w:val="es-ES"/>
        </w:rPr>
        <w:t>,</w:t>
      </w:r>
      <w:r w:rsidR="00C13C9B">
        <w:rPr>
          <w:sz w:val="24"/>
          <w:szCs w:val="24"/>
          <w:lang w:val="es-ES"/>
        </w:rPr>
        <w:t>771</w:t>
      </w:r>
      <w:r w:rsidR="00C13C9B" w:rsidRPr="00E467C0">
        <w:rPr>
          <w:sz w:val="24"/>
          <w:szCs w:val="24"/>
          <w:lang w:val="es-ES"/>
        </w:rPr>
        <w:t>)</w:t>
      </w:r>
      <w:r w:rsidR="00C13C9B">
        <w:rPr>
          <w:sz w:val="24"/>
          <w:szCs w:val="24"/>
          <w:lang w:val="es-ES"/>
        </w:rPr>
        <w:t>,</w:t>
      </w:r>
      <w:r w:rsidRPr="00E467C0">
        <w:rPr>
          <w:sz w:val="24"/>
          <w:szCs w:val="24"/>
          <w:lang w:val="es-ES"/>
        </w:rPr>
        <w:t xml:space="preserve"> para un valor de </w:t>
      </w:r>
      <w:r w:rsidRPr="00E467C0">
        <w:rPr>
          <w:b/>
          <w:sz w:val="24"/>
          <w:szCs w:val="24"/>
          <w:lang w:val="es-ES"/>
        </w:rPr>
        <w:t>RD$5,</w:t>
      </w:r>
      <w:r w:rsidR="0008798A">
        <w:rPr>
          <w:b/>
          <w:sz w:val="24"/>
          <w:szCs w:val="24"/>
          <w:lang w:val="es-ES"/>
        </w:rPr>
        <w:t>015</w:t>
      </w:r>
      <w:r w:rsidR="00C15A0F">
        <w:rPr>
          <w:b/>
          <w:sz w:val="24"/>
          <w:szCs w:val="24"/>
          <w:lang w:val="es-ES"/>
        </w:rPr>
        <w:t>.</w:t>
      </w:r>
      <w:r w:rsidR="0008798A">
        <w:rPr>
          <w:b/>
          <w:sz w:val="24"/>
          <w:szCs w:val="24"/>
          <w:lang w:val="es-ES"/>
        </w:rPr>
        <w:t>4</w:t>
      </w:r>
      <w:r w:rsidR="00C15A0F">
        <w:rPr>
          <w:b/>
          <w:sz w:val="24"/>
          <w:szCs w:val="24"/>
          <w:lang w:val="es-ES"/>
        </w:rPr>
        <w:t>00.00</w:t>
      </w:r>
      <w:r w:rsidR="00C901C1">
        <w:rPr>
          <w:b/>
          <w:sz w:val="24"/>
          <w:szCs w:val="24"/>
          <w:lang w:val="es-ES"/>
        </w:rPr>
        <w:t xml:space="preserve"> (cinco millones </w:t>
      </w:r>
      <w:r w:rsidR="00C15A0F">
        <w:rPr>
          <w:b/>
          <w:sz w:val="24"/>
          <w:szCs w:val="24"/>
          <w:lang w:val="es-ES"/>
        </w:rPr>
        <w:t>quin</w:t>
      </w:r>
      <w:r w:rsidR="0008798A">
        <w:rPr>
          <w:b/>
          <w:sz w:val="24"/>
          <w:szCs w:val="24"/>
          <w:lang w:val="es-ES"/>
        </w:rPr>
        <w:t xml:space="preserve">ce </w:t>
      </w:r>
      <w:r w:rsidR="00C15A0F">
        <w:rPr>
          <w:b/>
          <w:sz w:val="24"/>
          <w:szCs w:val="24"/>
          <w:lang w:val="es-ES"/>
        </w:rPr>
        <w:t xml:space="preserve">mil </w:t>
      </w:r>
      <w:r w:rsidR="0008798A">
        <w:rPr>
          <w:b/>
          <w:sz w:val="24"/>
          <w:szCs w:val="24"/>
          <w:lang w:val="es-ES"/>
        </w:rPr>
        <w:t>cuatrocientos</w:t>
      </w:r>
      <w:r w:rsidR="00C15A0F">
        <w:rPr>
          <w:b/>
          <w:sz w:val="24"/>
          <w:szCs w:val="24"/>
          <w:lang w:val="es-ES"/>
        </w:rPr>
        <w:t xml:space="preserve"> pesos.)</w:t>
      </w:r>
    </w:p>
    <w:p w:rsidR="00B27BCA" w:rsidRDefault="00B27BCA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Verifi</w:t>
      </w:r>
      <w:r w:rsidR="0020104E">
        <w:rPr>
          <w:sz w:val="24"/>
          <w:szCs w:val="24"/>
          <w:lang w:val="es-ES"/>
        </w:rPr>
        <w:t>camos mil trescientos cincuenta y tres (1,3</w:t>
      </w:r>
      <w:r w:rsidR="003F2711">
        <w:rPr>
          <w:sz w:val="24"/>
          <w:szCs w:val="24"/>
          <w:lang w:val="es-ES"/>
        </w:rPr>
        <w:t>5</w:t>
      </w:r>
      <w:r w:rsidR="0020104E">
        <w:rPr>
          <w:sz w:val="24"/>
          <w:szCs w:val="24"/>
          <w:lang w:val="es-ES"/>
        </w:rPr>
        <w:t>3</w:t>
      </w:r>
      <w:r>
        <w:rPr>
          <w:sz w:val="24"/>
          <w:szCs w:val="24"/>
          <w:lang w:val="es-ES"/>
        </w:rPr>
        <w:t>) contratos de fianzas para asegurar el cumplimento de la</w:t>
      </w:r>
      <w:r w:rsidR="00841C1C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obligaciones en virtud de sentencias dictadas en las cortes. Ver cuadro No.3</w:t>
      </w:r>
      <w:r w:rsidR="003F2711">
        <w:rPr>
          <w:sz w:val="24"/>
          <w:szCs w:val="24"/>
          <w:lang w:val="es-ES"/>
        </w:rPr>
        <w:t>.</w:t>
      </w:r>
    </w:p>
    <w:p w:rsidR="00091105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</w:p>
    <w:tbl>
      <w:tblPr>
        <w:tblW w:w="7516" w:type="dxa"/>
        <w:tblInd w:w="810" w:type="dxa"/>
        <w:tblCellMar>
          <w:left w:w="70" w:type="dxa"/>
          <w:right w:w="70" w:type="dxa"/>
        </w:tblCellMar>
        <w:tblLook w:val="04A0"/>
      </w:tblPr>
      <w:tblGrid>
        <w:gridCol w:w="1280"/>
        <w:gridCol w:w="1661"/>
        <w:gridCol w:w="2260"/>
        <w:gridCol w:w="2315"/>
      </w:tblGrid>
      <w:tr w:rsidR="004137BD" w:rsidRPr="000A5EAC" w:rsidTr="00461893">
        <w:trPr>
          <w:trHeight w:val="315"/>
        </w:trPr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37BD" w:rsidRPr="000A5EAC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CONTRATOS DE FIANZAS</w:t>
            </w:r>
          </w:p>
        </w:tc>
      </w:tr>
      <w:tr w:rsidR="004137BD" w:rsidRPr="000A5EAC" w:rsidTr="00461893">
        <w:trPr>
          <w:trHeight w:val="315"/>
        </w:trPr>
        <w:tc>
          <w:tcPr>
            <w:tcW w:w="7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0A5EAC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Cuadro No.3</w:t>
            </w:r>
          </w:p>
        </w:tc>
      </w:tr>
      <w:tr w:rsidR="004137BD" w:rsidRPr="000A5EAC" w:rsidTr="00461893">
        <w:trPr>
          <w:trHeight w:val="276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137BD" w:rsidRPr="000A5EAC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MES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137BD" w:rsidRPr="000A5EAC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>CONTRATOS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4137BD" w:rsidRPr="000A5EAC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FIANZAS 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137BD" w:rsidRPr="000A5EAC" w:rsidRDefault="004137BD" w:rsidP="00461893">
            <w:pPr>
              <w:jc w:val="center"/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  <w:r w:rsidRPr="000A5EAC">
              <w:rPr>
                <w:b/>
                <w:bCs/>
                <w:color w:val="000000"/>
                <w:sz w:val="24"/>
                <w:szCs w:val="24"/>
                <w:lang w:val="es-ES"/>
              </w:rPr>
              <w:t xml:space="preserve">PRIMAS 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BD" w:rsidRPr="000A5EAC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BD" w:rsidRPr="000A5EAC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BD" w:rsidRPr="000A5EAC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7BD" w:rsidRPr="000A5EAC" w:rsidRDefault="004137BD" w:rsidP="00461893">
            <w:pPr>
              <w:rPr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Enero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37,080,000.00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431,324.00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Febrero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30,927,000.00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360,124.00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Marzo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37,640,000.00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438,160.00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Abril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16,840,000.00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196,172.00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Mayo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33,370,000.00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377,894.00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Junio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22,947,000.00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267,013.40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Julio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21,350,000.00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248,589.20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Agosto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29,600,000.00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344,289.20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Septiembre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17,700,000.00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206,046.80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Octubre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16,555,000.00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192,838.40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Noviembre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26,400,901.70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306,245.14</w:t>
            </w:r>
          </w:p>
        </w:tc>
      </w:tr>
      <w:tr w:rsidR="004137BD" w:rsidRPr="000A5EAC" w:rsidTr="00461893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rPr>
                <w:rFonts w:ascii="Arial" w:hAnsi="Arial" w:cs="Arial"/>
                <w:color w:val="000000"/>
                <w:szCs w:val="16"/>
                <w:lang w:val="es-ES"/>
              </w:rPr>
            </w:pPr>
            <w:r w:rsidRPr="00C87BDB">
              <w:rPr>
                <w:rFonts w:ascii="Arial" w:hAnsi="Arial" w:cs="Arial"/>
                <w:color w:val="000000"/>
                <w:szCs w:val="16"/>
                <w:lang w:val="es-ES"/>
              </w:rPr>
              <w:t>Diciembre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3F2711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1</w:t>
            </w:r>
            <w:r w:rsidR="003F2711">
              <w:rPr>
                <w:rFonts w:ascii="Calibri" w:hAnsi="Calibri" w:cs="Calibri"/>
                <w:color w:val="000000"/>
                <w:szCs w:val="16"/>
                <w:lang w:val="es-ES"/>
              </w:rPr>
              <w:t>1</w:t>
            </w:r>
            <w:r w:rsidRPr="00C87BDB">
              <w:rPr>
                <w:rFonts w:ascii="Calibri" w:hAnsi="Calibri" w:cs="Calibri"/>
                <w:color w:val="000000"/>
                <w:szCs w:val="16"/>
                <w:lang w:val="es-ES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26,400,901.70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16"/>
                <w:lang w:val="es-ES"/>
              </w:rPr>
              <w:t>306,245.14</w:t>
            </w:r>
          </w:p>
        </w:tc>
      </w:tr>
      <w:tr w:rsidR="004137BD" w:rsidRPr="000A5EAC" w:rsidTr="00461893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37BD" w:rsidRPr="00C87BDB" w:rsidRDefault="004137BD" w:rsidP="00461893">
            <w:pPr>
              <w:rPr>
                <w:b/>
                <w:bCs/>
                <w:color w:val="000000"/>
                <w:szCs w:val="16"/>
                <w:lang w:val="es-ES"/>
              </w:rPr>
            </w:pPr>
            <w:r w:rsidRPr="00C87BDB">
              <w:rPr>
                <w:b/>
                <w:bCs/>
                <w:color w:val="000000"/>
                <w:szCs w:val="16"/>
                <w:lang w:val="es-ES"/>
              </w:rPr>
              <w:t>Total RD$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37BD" w:rsidRPr="00C87BDB" w:rsidRDefault="004137BD" w:rsidP="00E85CF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</w:pPr>
            <w:r w:rsidRPr="00C87BDB"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  <w:t>1,3</w:t>
            </w:r>
            <w:r w:rsidR="003F2711"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  <w:t>5</w:t>
            </w:r>
            <w:r w:rsidRPr="00C87BDB"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  <w:t>316,810,820.40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137BD" w:rsidRPr="00C87BDB" w:rsidRDefault="004137BD" w:rsidP="0046189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16"/>
                <w:lang w:val="es-ES"/>
              </w:rPr>
              <w:t>3,674,961.68</w:t>
            </w:r>
          </w:p>
        </w:tc>
      </w:tr>
    </w:tbl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Pr="00567612" w:rsidRDefault="0020104E" w:rsidP="009C6647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registradas ocho (08</w:t>
      </w:r>
      <w:r w:rsidR="00567612">
        <w:rPr>
          <w:sz w:val="24"/>
          <w:szCs w:val="24"/>
          <w:lang w:val="es-ES"/>
        </w:rPr>
        <w:t>) firmas de Auditores y Auditor independiente para que las compañías aseguradoras realicen sus auditorías con firmas de auditores registrados en esta Superintendencia de Seguros en correspondencia a los requisitos establecidos.</w:t>
      </w:r>
    </w:p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312472" w:rsidRDefault="00567612" w:rsidP="009C6647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Actuando como Amigable Componedor en el proceso de conciliación y arbitraje, fueron </w:t>
      </w:r>
      <w:r w:rsidR="001A34BF">
        <w:rPr>
          <w:sz w:val="24"/>
          <w:szCs w:val="24"/>
          <w:lang w:val="es-ES"/>
        </w:rPr>
        <w:t>conocidas ciento seis (106)</w:t>
      </w:r>
      <w:r>
        <w:rPr>
          <w:sz w:val="24"/>
          <w:szCs w:val="24"/>
          <w:lang w:val="es-ES"/>
        </w:rPr>
        <w:t xml:space="preserve"> conciliaciones entre las diferentes compañías de seguros y sus asegurados y se red</w:t>
      </w:r>
      <w:r w:rsidR="00BA0F1B">
        <w:rPr>
          <w:sz w:val="24"/>
          <w:szCs w:val="24"/>
          <w:lang w:val="es-ES"/>
        </w:rPr>
        <w:t>actar</w:t>
      </w:r>
      <w:r w:rsidR="00A12C9A">
        <w:rPr>
          <w:sz w:val="24"/>
          <w:szCs w:val="24"/>
          <w:lang w:val="es-ES"/>
        </w:rPr>
        <w:t>on cuarenta y nueve (49)</w:t>
      </w:r>
      <w:r w:rsidR="00BA0F1B">
        <w:rPr>
          <w:sz w:val="24"/>
          <w:szCs w:val="24"/>
          <w:lang w:val="es-ES"/>
        </w:rPr>
        <w:t xml:space="preserve"> Actas de no Acuerdos, ya que las partes no pudieron conciliar y así permitir que los asegurados puedan llevar sus reclamaciones a los tribunales correspondientes.</w:t>
      </w:r>
    </w:p>
    <w:p w:rsidR="00312472" w:rsidRDefault="00312472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567612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  <w:r w:rsidRPr="00567612">
        <w:rPr>
          <w:sz w:val="24"/>
          <w:szCs w:val="24"/>
          <w:lang w:val="es-ES"/>
        </w:rPr>
        <w:t>Se encuentran depositados en la Dirección Financiera de esta Superintendencia de seguros, los certificados financieros, para avalar las licencias de los Corredores y Ajustadores en sus diferentes denominaciones según detallamos a continuación:</w:t>
      </w:r>
    </w:p>
    <w:p w:rsidR="00091105" w:rsidRPr="00567612" w:rsidRDefault="00091105" w:rsidP="00091105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567612" w:rsidRDefault="0020104E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17   </w:t>
      </w:r>
      <w:r w:rsidR="008C7317">
        <w:rPr>
          <w:sz w:val="24"/>
          <w:szCs w:val="24"/>
          <w:lang w:val="es-ES"/>
        </w:rPr>
        <w:t>Corredores de seguros persona moral</w:t>
      </w:r>
      <w:r>
        <w:rPr>
          <w:sz w:val="24"/>
          <w:szCs w:val="24"/>
          <w:lang w:val="es-ES"/>
        </w:rPr>
        <w:t xml:space="preserve"> </w:t>
      </w:r>
    </w:p>
    <w:p w:rsidR="00091105" w:rsidRPr="00567612" w:rsidRDefault="008C7317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40</w:t>
      </w:r>
      <w:r w:rsidR="00091105" w:rsidRPr="00567612">
        <w:rPr>
          <w:sz w:val="24"/>
          <w:szCs w:val="24"/>
          <w:lang w:val="es-ES"/>
        </w:rPr>
        <w:t xml:space="preserve">   Co</w:t>
      </w:r>
      <w:r>
        <w:rPr>
          <w:sz w:val="24"/>
          <w:szCs w:val="24"/>
          <w:lang w:val="es-ES"/>
        </w:rPr>
        <w:t xml:space="preserve">rredores de Seguros Persona </w:t>
      </w:r>
      <w:r w:rsidR="005E71F5">
        <w:rPr>
          <w:sz w:val="24"/>
          <w:szCs w:val="24"/>
          <w:lang w:val="es-ES"/>
        </w:rPr>
        <w:t>física</w:t>
      </w:r>
    </w:p>
    <w:p w:rsidR="00091105" w:rsidRPr="00567612" w:rsidRDefault="008C7317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02</w:t>
      </w:r>
      <w:r w:rsidR="00091105" w:rsidRPr="00567612">
        <w:rPr>
          <w:sz w:val="24"/>
          <w:szCs w:val="24"/>
          <w:lang w:val="es-ES"/>
        </w:rPr>
        <w:t xml:space="preserve">   Corr</w:t>
      </w:r>
      <w:r>
        <w:rPr>
          <w:sz w:val="24"/>
          <w:szCs w:val="24"/>
          <w:lang w:val="es-ES"/>
        </w:rPr>
        <w:t>edores de Seguros Persona moral</w:t>
      </w:r>
    </w:p>
    <w:p w:rsidR="00091105" w:rsidRPr="00567612" w:rsidRDefault="008C7317" w:rsidP="00091105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01</w:t>
      </w:r>
      <w:r w:rsidR="00091105" w:rsidRPr="00567612">
        <w:rPr>
          <w:sz w:val="24"/>
          <w:szCs w:val="24"/>
          <w:lang w:val="es-ES"/>
        </w:rPr>
        <w:t xml:space="preserve">     Aju</w:t>
      </w:r>
      <w:r>
        <w:rPr>
          <w:sz w:val="24"/>
          <w:szCs w:val="24"/>
          <w:lang w:val="es-ES"/>
        </w:rPr>
        <w:t xml:space="preserve">stadores de Seguros Persona </w:t>
      </w:r>
      <w:r w:rsidR="005E71F5">
        <w:rPr>
          <w:sz w:val="24"/>
          <w:szCs w:val="24"/>
          <w:lang w:val="es-ES"/>
        </w:rPr>
        <w:t>física</w:t>
      </w:r>
    </w:p>
    <w:p w:rsidR="00091105" w:rsidRPr="00567612" w:rsidRDefault="00091105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Pr="00567612" w:rsidRDefault="00091105" w:rsidP="00091105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567612">
        <w:rPr>
          <w:sz w:val="24"/>
          <w:szCs w:val="24"/>
          <w:lang w:eastAsia="es-ES_tradnl"/>
        </w:rPr>
        <w:lastRenderedPageBreak/>
        <w:t>Recibimos y</w:t>
      </w:r>
      <w:r w:rsidR="008C7317">
        <w:rPr>
          <w:sz w:val="24"/>
          <w:szCs w:val="24"/>
          <w:lang w:eastAsia="es-ES_tradnl"/>
        </w:rPr>
        <w:t xml:space="preserve"> analizamos cincuenta y  nueve (5</w:t>
      </w:r>
      <w:r w:rsidRPr="00567612">
        <w:rPr>
          <w:sz w:val="24"/>
          <w:szCs w:val="24"/>
          <w:lang w:eastAsia="es-ES_tradnl"/>
        </w:rPr>
        <w:t xml:space="preserve">9) </w:t>
      </w:r>
      <w:r w:rsidRPr="00567612">
        <w:rPr>
          <w:sz w:val="24"/>
          <w:szCs w:val="24"/>
          <w:lang w:val="es-ES" w:eastAsia="es-ES_tradnl"/>
        </w:rPr>
        <w:t>formularios  RC1 y RC2,  que contienen las operaciones de reaseguros cedidos, local y del exterior de las compañías aseguradoras y reaseguradoras correspondientes a  operaciones  de los años 2015 y 2016.</w:t>
      </w:r>
    </w:p>
    <w:p w:rsidR="00B27BCA" w:rsidRDefault="00B27BCA" w:rsidP="002A09E3">
      <w:pPr>
        <w:spacing w:line="360" w:lineRule="auto"/>
        <w:jc w:val="both"/>
        <w:rPr>
          <w:sz w:val="24"/>
          <w:szCs w:val="24"/>
          <w:lang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eastAsia="es-ES_tradnl"/>
        </w:rPr>
      </w:pPr>
      <w:r>
        <w:rPr>
          <w:sz w:val="24"/>
          <w:szCs w:val="24"/>
          <w:lang w:eastAsia="es-ES_tradnl"/>
        </w:rPr>
        <w:t>Procedimos al reg</w:t>
      </w:r>
      <w:r w:rsidR="008C7317">
        <w:rPr>
          <w:sz w:val="24"/>
          <w:szCs w:val="24"/>
          <w:lang w:eastAsia="es-ES_tradnl"/>
        </w:rPr>
        <w:t>istro y autorización de cinco (05</w:t>
      </w:r>
      <w:r w:rsidRPr="00007A28">
        <w:rPr>
          <w:sz w:val="24"/>
          <w:szCs w:val="24"/>
          <w:lang w:eastAsia="es-ES_tradnl"/>
        </w:rPr>
        <w:t>)</w:t>
      </w:r>
      <w:r>
        <w:rPr>
          <w:b/>
          <w:sz w:val="24"/>
          <w:szCs w:val="24"/>
          <w:lang w:eastAsia="es-ES_tradnl"/>
        </w:rPr>
        <w:t xml:space="preserve"> </w:t>
      </w:r>
      <w:r>
        <w:rPr>
          <w:sz w:val="24"/>
          <w:szCs w:val="24"/>
          <w:lang w:eastAsia="es-ES_tradnl"/>
        </w:rPr>
        <w:t>reaseguradores aceptados no radicados, con el objetivo de realizar operaciones de reaseguros con las compañías entre las que citaremos las siguientes:</w:t>
      </w:r>
    </w:p>
    <w:p w:rsidR="002A09E3" w:rsidRDefault="002A09E3" w:rsidP="002A09E3">
      <w:pPr>
        <w:pStyle w:val="Sinespaciado"/>
        <w:jc w:val="both"/>
        <w:rPr>
          <w:rFonts w:ascii="Times New Roman" w:hAnsi="Times New Roman"/>
          <w:b/>
          <w:sz w:val="24"/>
          <w:szCs w:val="24"/>
          <w:lang w:eastAsia="es-ES_tradnl"/>
        </w:rPr>
      </w:pPr>
    </w:p>
    <w:p w:rsidR="002A09E3" w:rsidRPr="00552C61" w:rsidRDefault="002A09E3" w:rsidP="005C4FD0">
      <w:pPr>
        <w:pStyle w:val="Sinespaciado"/>
        <w:jc w:val="both"/>
        <w:outlineLvl w:val="0"/>
        <w:rPr>
          <w:rFonts w:ascii="Times New Roman" w:hAnsi="Times New Roman"/>
          <w:b/>
          <w:color w:val="FF0000"/>
          <w:sz w:val="24"/>
          <w:szCs w:val="24"/>
          <w:lang w:eastAsia="es-ES_tradnl"/>
        </w:rPr>
      </w:pPr>
      <w:r>
        <w:rPr>
          <w:rFonts w:ascii="Times New Roman" w:hAnsi="Times New Roman"/>
          <w:b/>
          <w:sz w:val="24"/>
          <w:szCs w:val="24"/>
          <w:lang w:eastAsia="es-ES_tradnl"/>
        </w:rPr>
        <w:t>Listado del Registro de Reasegurad</w:t>
      </w:r>
      <w:r w:rsidR="009F232C">
        <w:rPr>
          <w:rFonts w:ascii="Times New Roman" w:hAnsi="Times New Roman"/>
          <w:b/>
          <w:sz w:val="24"/>
          <w:szCs w:val="24"/>
          <w:lang w:eastAsia="es-ES_tradnl"/>
        </w:rPr>
        <w:t>ores Aceptados no Radicados</w:t>
      </w:r>
      <w:r w:rsidR="003F2711">
        <w:rPr>
          <w:rFonts w:ascii="Times New Roman" w:hAnsi="Times New Roman"/>
          <w:b/>
          <w:sz w:val="24"/>
          <w:szCs w:val="24"/>
          <w:lang w:eastAsia="es-ES_tradnl"/>
        </w:rPr>
        <w:t>.</w:t>
      </w:r>
    </w:p>
    <w:p w:rsidR="002A09E3" w:rsidRDefault="002A09E3" w:rsidP="002A09E3">
      <w:pPr>
        <w:pStyle w:val="Sinespaciado"/>
        <w:jc w:val="both"/>
        <w:rPr>
          <w:rFonts w:ascii="Times New Roman" w:hAnsi="Times New Roman"/>
          <w:sz w:val="24"/>
          <w:szCs w:val="24"/>
          <w:lang w:eastAsia="es-ES_tradnl"/>
        </w:rPr>
      </w:pPr>
    </w:p>
    <w:p w:rsidR="002A09E3" w:rsidRDefault="009F232C" w:rsidP="009F232C">
      <w:pPr>
        <w:pStyle w:val="Prrafodelista"/>
        <w:numPr>
          <w:ilvl w:val="0"/>
          <w:numId w:val="47"/>
        </w:numPr>
        <w:spacing w:line="360" w:lineRule="auto"/>
        <w:jc w:val="both"/>
        <w:rPr>
          <w:sz w:val="24"/>
          <w:szCs w:val="24"/>
          <w:lang w:val="en-US" w:eastAsia="es-ES_tradnl"/>
        </w:rPr>
      </w:pPr>
      <w:r w:rsidRPr="009F232C">
        <w:rPr>
          <w:sz w:val="24"/>
          <w:szCs w:val="24"/>
          <w:lang w:val="en-US" w:eastAsia="es-ES_tradnl"/>
        </w:rPr>
        <w:t xml:space="preserve">Sirius Re Underwriting Services America LLC. </w:t>
      </w:r>
      <w:r>
        <w:rPr>
          <w:sz w:val="24"/>
          <w:szCs w:val="24"/>
          <w:lang w:val="en-US" w:eastAsia="es-ES_tradnl"/>
        </w:rPr>
        <w:t>(NEW YORK)</w:t>
      </w:r>
    </w:p>
    <w:p w:rsidR="009F232C" w:rsidRPr="009F232C" w:rsidRDefault="009F232C" w:rsidP="009F232C">
      <w:pPr>
        <w:pStyle w:val="Prrafodelista"/>
        <w:numPr>
          <w:ilvl w:val="0"/>
          <w:numId w:val="47"/>
        </w:numPr>
        <w:spacing w:line="360" w:lineRule="auto"/>
        <w:jc w:val="both"/>
        <w:rPr>
          <w:sz w:val="24"/>
          <w:szCs w:val="24"/>
          <w:lang w:val="es-ES" w:eastAsia="es-ES_tradnl"/>
        </w:rPr>
      </w:pPr>
      <w:r w:rsidRPr="009F232C">
        <w:rPr>
          <w:sz w:val="24"/>
          <w:szCs w:val="24"/>
          <w:lang w:val="es-ES" w:eastAsia="es-ES_tradnl"/>
        </w:rPr>
        <w:t xml:space="preserve">Solunion Seguros de </w:t>
      </w:r>
      <w:r w:rsidR="008D14F3" w:rsidRPr="009F232C">
        <w:rPr>
          <w:sz w:val="24"/>
          <w:szCs w:val="24"/>
          <w:lang w:val="es-ES" w:eastAsia="es-ES_tradnl"/>
        </w:rPr>
        <w:t>Crédito</w:t>
      </w:r>
      <w:r w:rsidRPr="009F232C">
        <w:rPr>
          <w:sz w:val="24"/>
          <w:szCs w:val="24"/>
          <w:lang w:val="es-ES" w:eastAsia="es-ES_tradnl"/>
        </w:rPr>
        <w:t xml:space="preserve">, </w:t>
      </w:r>
      <w:r w:rsidR="008D14F3" w:rsidRPr="009F232C">
        <w:rPr>
          <w:sz w:val="24"/>
          <w:szCs w:val="24"/>
          <w:lang w:val="es-ES" w:eastAsia="es-ES_tradnl"/>
        </w:rPr>
        <w:t>compañía</w:t>
      </w:r>
      <w:r w:rsidRPr="009F232C">
        <w:rPr>
          <w:sz w:val="24"/>
          <w:szCs w:val="24"/>
          <w:lang w:val="es-ES" w:eastAsia="es-ES_tradnl"/>
        </w:rPr>
        <w:t xml:space="preserve"> Internacional de Seguros y Reaseguros, S.A. (ESPAÑA)</w:t>
      </w:r>
    </w:p>
    <w:p w:rsidR="009F232C" w:rsidRDefault="009F232C" w:rsidP="009F232C">
      <w:pPr>
        <w:pStyle w:val="Prrafodelista"/>
        <w:numPr>
          <w:ilvl w:val="0"/>
          <w:numId w:val="47"/>
        </w:num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Chubb Seguros </w:t>
      </w:r>
      <w:r w:rsidR="008D14F3">
        <w:rPr>
          <w:sz w:val="24"/>
          <w:szCs w:val="24"/>
          <w:lang w:val="es-ES" w:eastAsia="es-ES_tradnl"/>
        </w:rPr>
        <w:t>Panamá</w:t>
      </w:r>
      <w:r>
        <w:rPr>
          <w:sz w:val="24"/>
          <w:szCs w:val="24"/>
          <w:lang w:val="es-ES" w:eastAsia="es-ES_tradnl"/>
        </w:rPr>
        <w:t>, S.A. (PANAMA)</w:t>
      </w:r>
    </w:p>
    <w:p w:rsidR="009F232C" w:rsidRDefault="009F232C" w:rsidP="009F232C">
      <w:pPr>
        <w:pStyle w:val="Prrafodelista"/>
        <w:numPr>
          <w:ilvl w:val="0"/>
          <w:numId w:val="47"/>
        </w:num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Aviva Insurance Limited (SCOTIA)</w:t>
      </w:r>
    </w:p>
    <w:p w:rsidR="009F232C" w:rsidRDefault="009F232C" w:rsidP="009F232C">
      <w:pPr>
        <w:pStyle w:val="Prrafodelista"/>
        <w:numPr>
          <w:ilvl w:val="0"/>
          <w:numId w:val="47"/>
        </w:num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AIG Europe Limited (LONDRES)</w:t>
      </w:r>
    </w:p>
    <w:p w:rsidR="009F232C" w:rsidRPr="009F232C" w:rsidRDefault="009F232C" w:rsidP="009F232C">
      <w:pPr>
        <w:spacing w:line="360" w:lineRule="auto"/>
        <w:ind w:left="360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45442B">
        <w:rPr>
          <w:sz w:val="24"/>
          <w:szCs w:val="24"/>
          <w:lang w:val="es-ES" w:eastAsia="es-ES_tradnl"/>
        </w:rPr>
        <w:t xml:space="preserve">Se recibieron y analizaron los </w:t>
      </w:r>
      <w:r>
        <w:rPr>
          <w:sz w:val="24"/>
          <w:szCs w:val="24"/>
          <w:lang w:val="es-ES" w:eastAsia="es-ES_tradnl"/>
        </w:rPr>
        <w:t>contratos automáticos de reaseguros proporcionales y no proporcionales para la vigencia 2016-2017 de las siguientes compañías de seguros:</w:t>
      </w:r>
    </w:p>
    <w:p w:rsidR="002A09E3" w:rsidRDefault="002A09E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Confederación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dominicana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del Canadá</w:t>
      </w:r>
      <w:r w:rsidR="00260A6F">
        <w:rPr>
          <w:rFonts w:ascii="Times New Roman" w:hAnsi="Times New Roman"/>
          <w:sz w:val="24"/>
          <w:szCs w:val="24"/>
          <w:lang w:eastAsia="es-ES_tradnl"/>
        </w:rPr>
        <w:t>.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S.A.</w:t>
      </w:r>
    </w:p>
    <w:p w:rsidR="002A09E3" w:rsidRDefault="002A09E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Seguros Constitución</w:t>
      </w:r>
      <w:r w:rsidR="00260A6F">
        <w:rPr>
          <w:rFonts w:ascii="Times New Roman" w:hAnsi="Times New Roman"/>
          <w:sz w:val="24"/>
          <w:szCs w:val="24"/>
          <w:lang w:eastAsia="es-ES_tradnl"/>
        </w:rPr>
        <w:t>.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S.A.</w:t>
      </w:r>
    </w:p>
    <w:p w:rsidR="002A09E3" w:rsidRDefault="002A09E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La Monumental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de Seguros</w:t>
      </w:r>
      <w:r w:rsidR="00260A6F">
        <w:rPr>
          <w:rFonts w:ascii="Times New Roman" w:hAnsi="Times New Roman"/>
          <w:sz w:val="24"/>
          <w:szCs w:val="24"/>
          <w:lang w:eastAsia="es-ES_tradnl"/>
        </w:rPr>
        <w:t>.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S.A.</w:t>
      </w:r>
    </w:p>
    <w:p w:rsidR="002A09E3" w:rsidRDefault="001946A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Seguros Re</w:t>
      </w:r>
      <w:r w:rsidR="002A09E3">
        <w:rPr>
          <w:rFonts w:ascii="Times New Roman" w:hAnsi="Times New Roman"/>
          <w:sz w:val="24"/>
          <w:szCs w:val="24"/>
          <w:lang w:eastAsia="es-ES_tradnl"/>
        </w:rPr>
        <w:t>servas</w:t>
      </w:r>
      <w:r w:rsidR="00260A6F">
        <w:rPr>
          <w:rFonts w:ascii="Times New Roman" w:hAnsi="Times New Roman"/>
          <w:sz w:val="24"/>
          <w:szCs w:val="24"/>
          <w:lang w:eastAsia="es-ES_tradnl"/>
        </w:rPr>
        <w:t>.</w:t>
      </w:r>
      <w:r>
        <w:rPr>
          <w:rFonts w:ascii="Times New Roman" w:hAnsi="Times New Roman"/>
          <w:sz w:val="24"/>
          <w:szCs w:val="24"/>
          <w:lang w:eastAsia="es-ES_tradnl"/>
        </w:rPr>
        <w:t xml:space="preserve"> S.A.</w:t>
      </w:r>
    </w:p>
    <w:p w:rsidR="002A09E3" w:rsidRDefault="002A09E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Universal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de Seguros</w:t>
      </w:r>
      <w:r w:rsidR="00260A6F">
        <w:rPr>
          <w:rFonts w:ascii="Times New Roman" w:hAnsi="Times New Roman"/>
          <w:sz w:val="24"/>
          <w:szCs w:val="24"/>
          <w:lang w:eastAsia="es-ES_tradnl"/>
        </w:rPr>
        <w:t>.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S.A.</w:t>
      </w:r>
    </w:p>
    <w:p w:rsidR="002A09E3" w:rsidRDefault="002A09E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Mapfre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BHD Compañía de Seguros, S.A.</w:t>
      </w:r>
    </w:p>
    <w:p w:rsidR="002A09E3" w:rsidRDefault="002A09E3" w:rsidP="00260A6F">
      <w:pPr>
        <w:pStyle w:val="Sinespaciado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  <w:lang w:eastAsia="es-ES_tradnl"/>
        </w:rPr>
      </w:pPr>
      <w:r>
        <w:rPr>
          <w:rFonts w:ascii="Times New Roman" w:hAnsi="Times New Roman"/>
          <w:sz w:val="24"/>
          <w:szCs w:val="24"/>
          <w:lang w:eastAsia="es-ES_tradnl"/>
        </w:rPr>
        <w:t>Coopseguros</w:t>
      </w:r>
      <w:r w:rsidR="001946A3">
        <w:rPr>
          <w:rFonts w:ascii="Times New Roman" w:hAnsi="Times New Roman"/>
          <w:sz w:val="24"/>
          <w:szCs w:val="24"/>
          <w:lang w:eastAsia="es-ES_tradnl"/>
        </w:rPr>
        <w:t xml:space="preserve"> S</w:t>
      </w:r>
      <w:r w:rsidR="00260A6F">
        <w:rPr>
          <w:rFonts w:ascii="Times New Roman" w:hAnsi="Times New Roman"/>
          <w:sz w:val="24"/>
          <w:szCs w:val="24"/>
          <w:lang w:eastAsia="es-ES_tradnl"/>
        </w:rPr>
        <w:t>.</w:t>
      </w:r>
      <w:r w:rsidR="001946A3">
        <w:rPr>
          <w:rFonts w:ascii="Times New Roman" w:hAnsi="Times New Roman"/>
          <w:sz w:val="24"/>
          <w:szCs w:val="24"/>
          <w:lang w:eastAsia="es-ES_tradnl"/>
        </w:rPr>
        <w:t>A.</w:t>
      </w:r>
    </w:p>
    <w:p w:rsidR="002A09E3" w:rsidRPr="00260A6F" w:rsidRDefault="002A09E3" w:rsidP="00260A6F">
      <w:pPr>
        <w:pStyle w:val="Prrafodelista"/>
        <w:numPr>
          <w:ilvl w:val="0"/>
          <w:numId w:val="48"/>
        </w:numPr>
        <w:spacing w:line="360" w:lineRule="auto"/>
        <w:jc w:val="both"/>
        <w:rPr>
          <w:sz w:val="24"/>
          <w:szCs w:val="24"/>
          <w:lang w:val="es-ES" w:eastAsia="es-ES_tradnl"/>
        </w:rPr>
      </w:pPr>
      <w:r w:rsidRPr="00260A6F">
        <w:rPr>
          <w:sz w:val="24"/>
          <w:szCs w:val="24"/>
          <w:lang w:val="es-ES" w:eastAsia="es-ES_tradnl"/>
        </w:rPr>
        <w:t>Seguros Federal</w:t>
      </w:r>
      <w:r w:rsidR="00682B20">
        <w:rPr>
          <w:sz w:val="24"/>
          <w:szCs w:val="24"/>
          <w:lang w:val="es-ES" w:eastAsia="es-ES_tradnl"/>
        </w:rPr>
        <w:t xml:space="preserve"> S</w:t>
      </w:r>
      <w:r w:rsidR="00260A6F">
        <w:rPr>
          <w:sz w:val="24"/>
          <w:szCs w:val="24"/>
          <w:lang w:val="es-ES" w:eastAsia="es-ES_tradnl"/>
        </w:rPr>
        <w:t>.</w:t>
      </w:r>
      <w:r w:rsidR="00682B20">
        <w:rPr>
          <w:sz w:val="24"/>
          <w:szCs w:val="24"/>
          <w:lang w:val="es-ES" w:eastAsia="es-ES_tradnl"/>
        </w:rPr>
        <w:t>R.L.</w:t>
      </w:r>
    </w:p>
    <w:p w:rsidR="00312472" w:rsidRDefault="00312472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CA26D9" w:rsidRDefault="00E62D0E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Remitimos ocho</w:t>
      </w:r>
      <w:r w:rsidR="002A09E3" w:rsidRPr="00F55803">
        <w:rPr>
          <w:sz w:val="24"/>
          <w:szCs w:val="24"/>
          <w:lang w:val="es-ES" w:eastAsia="es-ES_tradnl"/>
        </w:rPr>
        <w:t xml:space="preserve"> (</w:t>
      </w:r>
      <w:r>
        <w:rPr>
          <w:sz w:val="24"/>
          <w:szCs w:val="24"/>
          <w:lang w:val="es-ES" w:eastAsia="es-ES_tradnl"/>
        </w:rPr>
        <w:t>08</w:t>
      </w:r>
      <w:r w:rsidR="002A09E3" w:rsidRPr="00F55803">
        <w:rPr>
          <w:sz w:val="24"/>
          <w:szCs w:val="24"/>
          <w:lang w:val="es-ES" w:eastAsia="es-ES_tradnl"/>
        </w:rPr>
        <w:t>)</w:t>
      </w:r>
      <w:r w:rsidR="002A09E3">
        <w:rPr>
          <w:b/>
          <w:sz w:val="24"/>
          <w:szCs w:val="24"/>
          <w:lang w:val="es-ES" w:eastAsia="es-ES_tradnl"/>
        </w:rPr>
        <w:t xml:space="preserve"> </w:t>
      </w:r>
      <w:r w:rsidR="002A09E3">
        <w:rPr>
          <w:sz w:val="24"/>
          <w:szCs w:val="24"/>
          <w:lang w:val="es-ES" w:eastAsia="es-ES_tradnl"/>
        </w:rPr>
        <w:t>memorandos al departamento de Análisis Financiero y Estadísticas, con copias de los formularios RC1 y RC2 para la confección de los Boletines de Reaseguros.</w:t>
      </w:r>
    </w:p>
    <w:p w:rsidR="00CA26D9" w:rsidRDefault="00CA26D9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Recibimos sesenta y cuatro</w:t>
      </w:r>
      <w:r w:rsidRPr="00F55803">
        <w:rPr>
          <w:sz w:val="24"/>
          <w:szCs w:val="24"/>
          <w:lang w:val="es-ES" w:eastAsia="es-ES_tradnl"/>
        </w:rPr>
        <w:t xml:space="preserve"> (</w:t>
      </w:r>
      <w:r>
        <w:rPr>
          <w:sz w:val="24"/>
          <w:szCs w:val="24"/>
          <w:lang w:val="es-ES" w:eastAsia="es-ES_tradnl"/>
        </w:rPr>
        <w:t>6</w:t>
      </w:r>
      <w:r w:rsidRPr="00F55803">
        <w:rPr>
          <w:sz w:val="24"/>
          <w:szCs w:val="24"/>
          <w:lang w:val="es-ES" w:eastAsia="es-ES_tradnl"/>
        </w:rPr>
        <w:t>4)</w:t>
      </w:r>
      <w:r>
        <w:rPr>
          <w:b/>
          <w:sz w:val="24"/>
          <w:szCs w:val="24"/>
          <w:lang w:val="es-ES" w:eastAsia="es-ES_tradnl"/>
        </w:rPr>
        <w:t xml:space="preserve"> </w:t>
      </w:r>
      <w:r>
        <w:rPr>
          <w:sz w:val="24"/>
          <w:szCs w:val="24"/>
          <w:lang w:val="es-ES" w:eastAsia="es-ES_tradnl"/>
        </w:rPr>
        <w:t xml:space="preserve"> documentos actualizados de compañías extranjeras con la finalidad de renovar su condición de reasegurador aceptado no radicado para poder mantener negocios de reaseguros con aseguradores y reaseguradores locales.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E62D0E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Procedimos al registro de dos</w:t>
      </w:r>
      <w:r w:rsidR="002A09E3" w:rsidRPr="00F55803">
        <w:rPr>
          <w:sz w:val="24"/>
          <w:szCs w:val="24"/>
          <w:lang w:val="es-ES" w:eastAsia="es-ES_tradnl"/>
        </w:rPr>
        <w:t xml:space="preserve"> (</w:t>
      </w:r>
      <w:r>
        <w:rPr>
          <w:sz w:val="24"/>
          <w:szCs w:val="24"/>
          <w:lang w:val="es-ES" w:eastAsia="es-ES_tradnl"/>
        </w:rPr>
        <w:t>2</w:t>
      </w:r>
      <w:r w:rsidR="002A09E3" w:rsidRPr="00F55803">
        <w:rPr>
          <w:sz w:val="24"/>
          <w:szCs w:val="24"/>
          <w:lang w:val="es-ES" w:eastAsia="es-ES_tradnl"/>
        </w:rPr>
        <w:t>)</w:t>
      </w:r>
      <w:r w:rsidR="002A09E3">
        <w:rPr>
          <w:b/>
          <w:sz w:val="24"/>
          <w:szCs w:val="24"/>
          <w:lang w:val="es-ES" w:eastAsia="es-ES_tradnl"/>
        </w:rPr>
        <w:t xml:space="preserve"> </w:t>
      </w:r>
      <w:r w:rsidR="002A09E3">
        <w:rPr>
          <w:sz w:val="24"/>
          <w:szCs w:val="24"/>
          <w:lang w:val="es-ES" w:eastAsia="es-ES_tradnl"/>
        </w:rPr>
        <w:t>corred</w:t>
      </w:r>
      <w:r w:rsidR="003863CC">
        <w:rPr>
          <w:sz w:val="24"/>
          <w:szCs w:val="24"/>
          <w:lang w:val="es-ES" w:eastAsia="es-ES_tradnl"/>
        </w:rPr>
        <w:t>ores de reaseguros del exterior</w:t>
      </w:r>
      <w:r w:rsidR="002A09E3">
        <w:rPr>
          <w:sz w:val="24"/>
          <w:szCs w:val="24"/>
          <w:lang w:val="es-ES" w:eastAsia="es-ES_tradnl"/>
        </w:rPr>
        <w:t>, los cuales detallamos a continuación:</w:t>
      </w:r>
    </w:p>
    <w:p w:rsidR="002A09E3" w:rsidRDefault="00D9795D" w:rsidP="00D9795D">
      <w:pPr>
        <w:pStyle w:val="Sinespaciado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en-US" w:eastAsia="es-ES_tradnl"/>
        </w:rPr>
      </w:pPr>
      <w:r>
        <w:rPr>
          <w:rFonts w:ascii="Times New Roman" w:hAnsi="Times New Roman"/>
          <w:sz w:val="24"/>
          <w:szCs w:val="24"/>
          <w:lang w:val="en-US" w:eastAsia="es-ES_tradnl"/>
        </w:rPr>
        <w:t>Integro insurance Broquers limited</w:t>
      </w:r>
      <w:r w:rsidR="003863CC">
        <w:rPr>
          <w:rFonts w:ascii="Times New Roman" w:hAnsi="Times New Roman"/>
          <w:sz w:val="24"/>
          <w:szCs w:val="24"/>
          <w:lang w:val="en-US" w:eastAsia="es-ES_tradnl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s-ES_tradnl"/>
        </w:rPr>
        <w:t>(LONDRES)</w:t>
      </w:r>
    </w:p>
    <w:p w:rsidR="00D9795D" w:rsidRPr="009F232C" w:rsidRDefault="003863CC" w:rsidP="00D9795D">
      <w:pPr>
        <w:pStyle w:val="Sinespaciado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en-US" w:eastAsia="es-ES_tradnl"/>
        </w:rPr>
      </w:pPr>
      <w:r>
        <w:rPr>
          <w:rFonts w:ascii="Times New Roman" w:hAnsi="Times New Roman"/>
          <w:sz w:val="24"/>
          <w:szCs w:val="24"/>
          <w:lang w:val="en-US" w:eastAsia="es-ES_tradnl"/>
        </w:rPr>
        <w:t>Especialty Reinsurance</w:t>
      </w:r>
      <w:r w:rsidR="00D9795D" w:rsidRPr="009F232C">
        <w:rPr>
          <w:rFonts w:ascii="Times New Roman" w:hAnsi="Times New Roman"/>
          <w:sz w:val="24"/>
          <w:szCs w:val="24"/>
          <w:lang w:val="en-US" w:eastAsia="es-ES_tradnl"/>
        </w:rPr>
        <w:t xml:space="preserve"> Broker, inc.(PANAMA)</w:t>
      </w:r>
    </w:p>
    <w:p w:rsidR="002A09E3" w:rsidRPr="009F232C" w:rsidRDefault="002A09E3" w:rsidP="002A09E3">
      <w:pPr>
        <w:pStyle w:val="Sinespaciado"/>
        <w:jc w:val="both"/>
        <w:rPr>
          <w:rFonts w:ascii="Times New Roman" w:hAnsi="Times New Roman"/>
          <w:sz w:val="24"/>
          <w:szCs w:val="24"/>
          <w:lang w:val="en-US" w:eastAsia="es-ES_tradnl"/>
        </w:rPr>
      </w:pPr>
    </w:p>
    <w:p w:rsidR="009C5D26" w:rsidRPr="00D9795D" w:rsidRDefault="009C5D26" w:rsidP="002A09E3">
      <w:pPr>
        <w:spacing w:line="360" w:lineRule="auto"/>
        <w:jc w:val="both"/>
        <w:rPr>
          <w:sz w:val="24"/>
          <w:szCs w:val="24"/>
          <w:lang w:val="en-US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dirección de Recursos Humanos a través de la unidad de capacitación de ésta Superintendencia, dando cumplimiento a su progra</w:t>
      </w:r>
      <w:r w:rsidR="003863CC">
        <w:rPr>
          <w:sz w:val="24"/>
          <w:szCs w:val="24"/>
          <w:lang w:val="es-ES"/>
        </w:rPr>
        <w:t>ma de capacitación</w:t>
      </w:r>
      <w:r>
        <w:rPr>
          <w:sz w:val="24"/>
          <w:szCs w:val="24"/>
          <w:lang w:val="es-ES"/>
        </w:rPr>
        <w:t xml:space="preserve"> </w:t>
      </w:r>
      <w:r w:rsidR="00A01621">
        <w:rPr>
          <w:sz w:val="24"/>
          <w:szCs w:val="24"/>
          <w:lang w:val="es-ES"/>
        </w:rPr>
        <w:t>ha impartido ciento siete</w:t>
      </w:r>
      <w:r w:rsidR="00260A6F">
        <w:rPr>
          <w:sz w:val="24"/>
          <w:szCs w:val="24"/>
          <w:lang w:val="es-ES"/>
        </w:rPr>
        <w:t xml:space="preserve"> (107)</w:t>
      </w:r>
      <w:r>
        <w:rPr>
          <w:sz w:val="24"/>
          <w:szCs w:val="24"/>
          <w:lang w:val="es-ES"/>
        </w:rPr>
        <w:t xml:space="preserve"> eventos en diferentes áreas,</w:t>
      </w:r>
      <w:r w:rsidR="00A01621">
        <w:rPr>
          <w:sz w:val="24"/>
          <w:szCs w:val="24"/>
          <w:lang w:val="es-ES"/>
        </w:rPr>
        <w:t xml:space="preserve"> siendo favorecidos un total de dos mil trescientos un</w:t>
      </w:r>
      <w:r w:rsidR="00260A6F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</w:t>
      </w:r>
      <w:r w:rsidR="00A01621">
        <w:rPr>
          <w:sz w:val="24"/>
          <w:szCs w:val="24"/>
          <w:lang w:val="es-ES"/>
        </w:rPr>
        <w:t>(2,301)</w:t>
      </w:r>
      <w:r w:rsidR="003863CC">
        <w:rPr>
          <w:sz w:val="24"/>
          <w:szCs w:val="24"/>
          <w:lang w:val="es-ES"/>
        </w:rPr>
        <w:t>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lastRenderedPageBreak/>
        <w:t>La Dirección Administrativa cumpliendo con sus funciones principales, controló todas las actividades de pago que por diferentes conceptos que les fueron requeridas.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Logro un ahorro significativo de combustible en coordinación con el departamento de transportación.</w:t>
      </w:r>
    </w:p>
    <w:p w:rsidR="002A09E3" w:rsidRDefault="002A09E3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Gestiono la renovación de contratos de diferentes empresas que prestan servicios a esta institución.</w:t>
      </w:r>
    </w:p>
    <w:p w:rsidR="002A09E3" w:rsidRDefault="005C4FD0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Se coordino la reducción gradual en el uso de papel impreso</w:t>
      </w:r>
      <w:r w:rsidR="005E71F5">
        <w:rPr>
          <w:sz w:val="24"/>
          <w:szCs w:val="24"/>
          <w:lang w:val="es-ES" w:eastAsia="es-ES_tradnl"/>
        </w:rPr>
        <w:t>.</w:t>
      </w:r>
    </w:p>
    <w:p w:rsidR="002A09E3" w:rsidRDefault="005C4FD0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Fue entrenado un personal que nos permitirá la </w:t>
      </w:r>
      <w:r w:rsidR="00FF1085">
        <w:rPr>
          <w:sz w:val="24"/>
          <w:szCs w:val="24"/>
          <w:lang w:val="es-ES" w:eastAsia="es-ES_tradnl"/>
        </w:rPr>
        <w:t>evacuación rápida en casos de emergencias, y a la vez fue señalizada la ruta de evacuación.</w:t>
      </w:r>
    </w:p>
    <w:p w:rsidR="00FF1085" w:rsidRDefault="00FF1085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Se modernizo el  uso de gas en todo el edificio</w:t>
      </w:r>
      <w:r w:rsidR="003863CC">
        <w:rPr>
          <w:sz w:val="24"/>
          <w:szCs w:val="24"/>
          <w:lang w:val="es-ES" w:eastAsia="es-ES_tradnl"/>
        </w:rPr>
        <w:t>.</w:t>
      </w:r>
    </w:p>
    <w:p w:rsidR="00FF1085" w:rsidRDefault="00FF1085" w:rsidP="00FF1085">
      <w:pPr>
        <w:spacing w:line="360" w:lineRule="auto"/>
        <w:ind w:left="360"/>
        <w:jc w:val="both"/>
        <w:rPr>
          <w:sz w:val="24"/>
          <w:szCs w:val="24"/>
          <w:lang w:val="es-ES" w:eastAsia="es-ES_tradnl"/>
        </w:rPr>
      </w:pPr>
    </w:p>
    <w:p w:rsidR="002A09E3" w:rsidRDefault="002A09E3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Fueron atendidas y solucionadas todos los requerimientos de transportación, viajes al interior, movilidad de inspectores, transporte del equipo de </w:t>
      </w:r>
      <w:r w:rsidR="005E71F5">
        <w:rPr>
          <w:sz w:val="24"/>
          <w:szCs w:val="24"/>
          <w:lang w:val="es-ES" w:eastAsia="es-ES_tradnl"/>
        </w:rPr>
        <w:t>softball</w:t>
      </w:r>
      <w:r>
        <w:rPr>
          <w:sz w:val="24"/>
          <w:szCs w:val="24"/>
          <w:lang w:val="es-ES" w:eastAsia="es-ES_tradnl"/>
        </w:rPr>
        <w:t xml:space="preserve"> de esta institución, viaje de reforestación, </w:t>
      </w:r>
      <w:r w:rsidR="005E71F5">
        <w:rPr>
          <w:sz w:val="24"/>
          <w:szCs w:val="24"/>
          <w:lang w:val="es-ES" w:eastAsia="es-ES_tradnl"/>
        </w:rPr>
        <w:t>etc.</w:t>
      </w:r>
    </w:p>
    <w:p w:rsidR="002A09E3" w:rsidRDefault="002A09E3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La sección de suministro implement</w:t>
      </w:r>
      <w:r w:rsidR="003863CC">
        <w:rPr>
          <w:sz w:val="24"/>
          <w:szCs w:val="24"/>
          <w:lang w:val="es-ES" w:eastAsia="es-ES_tradnl"/>
        </w:rPr>
        <w:t xml:space="preserve">o </w:t>
      </w:r>
      <w:r>
        <w:rPr>
          <w:sz w:val="24"/>
          <w:szCs w:val="24"/>
          <w:lang w:val="es-ES" w:eastAsia="es-ES_tradnl"/>
        </w:rPr>
        <w:t>un nuevo sistema operativo el cual ha logrado actualizar el programa de inventarios, pudiendo suplir las necesidades de cada departamento a la mayor brevedad.</w:t>
      </w:r>
    </w:p>
    <w:p w:rsidR="003863CC" w:rsidRDefault="003863CC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La unidad de seguridad cumplió sus funciones a cabalidad logrando asignar vigilancia a todas las oficinas de la institución, así como en la compañía de seguros intervenida (Seguros Cibao</w:t>
      </w:r>
      <w:r w:rsidR="005E71F5">
        <w:rPr>
          <w:sz w:val="24"/>
          <w:szCs w:val="24"/>
          <w:lang w:val="es-ES" w:eastAsia="es-ES_tradnl"/>
        </w:rPr>
        <w:t>, SRL</w:t>
      </w:r>
      <w:r>
        <w:rPr>
          <w:sz w:val="24"/>
          <w:szCs w:val="24"/>
          <w:lang w:val="es-ES" w:eastAsia="es-ES_tradnl"/>
        </w:rPr>
        <w:t>).</w:t>
      </w:r>
    </w:p>
    <w:p w:rsidR="002A09E3" w:rsidRDefault="00AB6102" w:rsidP="003863CC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Se </w:t>
      </w:r>
      <w:r w:rsidR="002A09E3">
        <w:rPr>
          <w:sz w:val="24"/>
          <w:szCs w:val="24"/>
          <w:lang w:val="es-ES" w:eastAsia="es-ES_tradnl"/>
        </w:rPr>
        <w:t>Mantuv</w:t>
      </w:r>
      <w:r>
        <w:rPr>
          <w:sz w:val="24"/>
          <w:szCs w:val="24"/>
          <w:lang w:val="es-ES" w:eastAsia="es-ES_tradnl"/>
        </w:rPr>
        <w:t xml:space="preserve">o el </w:t>
      </w:r>
      <w:r w:rsidR="002A09E3">
        <w:rPr>
          <w:sz w:val="24"/>
          <w:szCs w:val="24"/>
          <w:lang w:val="es-ES" w:eastAsia="es-ES_tradnl"/>
        </w:rPr>
        <w:t>club embellecido y le fueron suplidas todas sus necesidades debido a las diferentes actividades que se desarrollaron durante el año.</w:t>
      </w:r>
    </w:p>
    <w:p w:rsidR="00B27BCA" w:rsidRPr="00A301CA" w:rsidRDefault="00B27BCA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La Supe</w:t>
      </w:r>
      <w:r w:rsidR="009E1078" w:rsidRPr="00A301CA">
        <w:rPr>
          <w:color w:val="000000" w:themeColor="text1"/>
          <w:sz w:val="24"/>
          <w:szCs w:val="24"/>
          <w:lang w:val="es-ES" w:eastAsia="es-ES_tradnl"/>
        </w:rPr>
        <w:t>rintendencia de Seguros continúo</w:t>
      </w:r>
      <w:r w:rsidRPr="00A301CA">
        <w:rPr>
          <w:color w:val="000000" w:themeColor="text1"/>
          <w:sz w:val="24"/>
          <w:szCs w:val="24"/>
          <w:lang w:val="es-ES" w:eastAsia="es-ES_tradnl"/>
        </w:rPr>
        <w:t xml:space="preserve"> el proceso de liquidación forzosa de </w:t>
      </w:r>
      <w:r w:rsidR="00D024E1" w:rsidRPr="00A301CA">
        <w:rPr>
          <w:color w:val="000000" w:themeColor="text1"/>
          <w:sz w:val="24"/>
          <w:szCs w:val="24"/>
          <w:lang w:val="es-ES" w:eastAsia="es-ES_tradnl"/>
        </w:rPr>
        <w:t>quince (15</w:t>
      </w:r>
      <w:r w:rsidRPr="00A301CA">
        <w:rPr>
          <w:color w:val="000000" w:themeColor="text1"/>
          <w:sz w:val="24"/>
          <w:szCs w:val="24"/>
          <w:lang w:val="es-ES" w:eastAsia="es-ES_tradnl"/>
        </w:rPr>
        <w:t>) compañías de seguros, las que detallamos a continuación: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1.-  Latinoamericana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2.-  Seguros del Caribe,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3.-  Citizens Dominicana,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4.-  Vanguardia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5.-  La Principal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6.-  Intercontinental de Seguros, C. por 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7.-  Segna, S.A. (La Antillana de Seguros, Transglobal de Seguros, B.Preetzman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 xml:space="preserve">       Aggerholm C x A., Mangna, S.A. y Reaseguradora Nacional).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8.-  Interoceánica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9.-  La Tropical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10.- Alemana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11.-  Centro de Reaseguros Universal,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12.-  La Isleña de Seguros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13.-  Central de Seguros, S.A.</w:t>
      </w:r>
    </w:p>
    <w:p w:rsidR="002A09E3" w:rsidRPr="00A301CA" w:rsidRDefault="002A09E3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14.- Unión de Seguros</w:t>
      </w:r>
      <w:r w:rsidR="0032048B" w:rsidRPr="00A301CA">
        <w:rPr>
          <w:color w:val="000000" w:themeColor="text1"/>
          <w:sz w:val="24"/>
          <w:szCs w:val="24"/>
          <w:lang w:val="es-ES" w:eastAsia="es-ES_tradnl"/>
        </w:rPr>
        <w:t xml:space="preserve"> S.A.</w:t>
      </w:r>
    </w:p>
    <w:p w:rsidR="00D024E1" w:rsidRPr="00A301CA" w:rsidRDefault="00D024E1" w:rsidP="002A09E3">
      <w:pPr>
        <w:spacing w:line="360" w:lineRule="auto"/>
        <w:jc w:val="both"/>
        <w:rPr>
          <w:color w:val="000000" w:themeColor="text1"/>
          <w:sz w:val="24"/>
          <w:szCs w:val="24"/>
          <w:lang w:val="es-ES" w:eastAsia="es-ES_tradnl"/>
        </w:rPr>
      </w:pPr>
      <w:r w:rsidRPr="00A301CA">
        <w:rPr>
          <w:color w:val="000000" w:themeColor="text1"/>
          <w:sz w:val="24"/>
          <w:szCs w:val="24"/>
          <w:lang w:val="es-ES" w:eastAsia="es-ES_tradnl"/>
        </w:rPr>
        <w:t>15.- Seguros Constitución.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Pr="004A66D8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 xml:space="preserve">Nota: De estas compañías en liquidación forzosas en la actualidad hay </w:t>
      </w:r>
      <w:r w:rsidR="00D024E1">
        <w:rPr>
          <w:sz w:val="24"/>
          <w:szCs w:val="24"/>
          <w:lang w:val="es-ES" w:eastAsia="es-ES_tradnl"/>
        </w:rPr>
        <w:t>cuatro</w:t>
      </w:r>
      <w:r>
        <w:rPr>
          <w:sz w:val="24"/>
          <w:szCs w:val="24"/>
          <w:lang w:val="es-ES" w:eastAsia="es-ES_tradnl"/>
        </w:rPr>
        <w:t xml:space="preserve"> (</w:t>
      </w:r>
      <w:r w:rsidR="00D024E1">
        <w:rPr>
          <w:sz w:val="24"/>
          <w:szCs w:val="24"/>
          <w:lang w:val="es-ES" w:eastAsia="es-ES_tradnl"/>
        </w:rPr>
        <w:t>4</w:t>
      </w:r>
      <w:r>
        <w:rPr>
          <w:sz w:val="24"/>
          <w:szCs w:val="24"/>
          <w:lang w:val="es-ES" w:eastAsia="es-ES_tradnl"/>
        </w:rPr>
        <w:t>) que están cumpliendo con los pagos por concepto de reclamos</w:t>
      </w:r>
      <w:r w:rsidRPr="004A66D8">
        <w:rPr>
          <w:sz w:val="24"/>
          <w:szCs w:val="24"/>
          <w:lang w:val="es-ES" w:eastAsia="es-ES_tradnl"/>
        </w:rPr>
        <w:t>: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1.- Intercontinental de Seguros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2.- Latinoamericana de Seguros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3.- Segna y sus vinculadas.</w:t>
      </w:r>
    </w:p>
    <w:p w:rsidR="00D024E1" w:rsidRDefault="00D024E1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>
        <w:rPr>
          <w:sz w:val="24"/>
          <w:szCs w:val="24"/>
          <w:lang w:val="es-ES" w:eastAsia="es-ES_tradnl"/>
        </w:rPr>
        <w:t>4.-Seguros Constitución S.A.</w:t>
      </w:r>
    </w:p>
    <w:p w:rsidR="002A09E3" w:rsidRDefault="002A09E3" w:rsidP="002A09E3">
      <w:pPr>
        <w:spacing w:line="360" w:lineRule="auto"/>
        <w:jc w:val="both"/>
        <w:rPr>
          <w:b/>
          <w:sz w:val="24"/>
          <w:szCs w:val="24"/>
          <w:lang w:val="es-ES" w:eastAsia="es-ES_tradnl"/>
        </w:rPr>
      </w:pPr>
    </w:p>
    <w:p w:rsidR="002A09E3" w:rsidRPr="00A1117C" w:rsidRDefault="009E1078" w:rsidP="005C4FD0">
      <w:pPr>
        <w:spacing w:line="360" w:lineRule="auto"/>
        <w:jc w:val="both"/>
        <w:outlineLvl w:val="0"/>
        <w:rPr>
          <w:b/>
          <w:sz w:val="24"/>
          <w:szCs w:val="24"/>
          <w:lang w:val="es-ES" w:eastAsia="es-ES_tradnl"/>
        </w:rPr>
      </w:pPr>
      <w:r>
        <w:rPr>
          <w:b/>
          <w:sz w:val="24"/>
          <w:szCs w:val="24"/>
          <w:lang w:val="es-ES" w:eastAsia="es-ES_tradnl"/>
        </w:rPr>
        <w:t>T</w:t>
      </w:r>
      <w:r w:rsidR="002A09E3" w:rsidRPr="00A1117C">
        <w:rPr>
          <w:b/>
          <w:sz w:val="24"/>
          <w:szCs w:val="24"/>
          <w:lang w:val="es-ES" w:eastAsia="es-ES_tradnl"/>
        </w:rPr>
        <w:t>res (3) compañías en autoliquidación:</w:t>
      </w:r>
    </w:p>
    <w:p w:rsidR="002A09E3" w:rsidRPr="00E77040" w:rsidRDefault="005E71F5" w:rsidP="002A09E3">
      <w:pPr>
        <w:spacing w:line="360" w:lineRule="auto"/>
        <w:jc w:val="both"/>
        <w:rPr>
          <w:sz w:val="24"/>
          <w:szCs w:val="24"/>
          <w:lang w:val="en-US" w:eastAsia="es-ES_tradnl"/>
        </w:rPr>
      </w:pPr>
      <w:r w:rsidRPr="00E77040">
        <w:rPr>
          <w:sz w:val="24"/>
          <w:szCs w:val="24"/>
          <w:lang w:val="en-US" w:eastAsia="es-ES_tradnl"/>
        </w:rPr>
        <w:t>1. -</w:t>
      </w:r>
      <w:r w:rsidR="002A09E3" w:rsidRPr="00E77040">
        <w:rPr>
          <w:sz w:val="24"/>
          <w:szCs w:val="24"/>
          <w:lang w:val="en-US" w:eastAsia="es-ES_tradnl"/>
        </w:rPr>
        <w:t xml:space="preserve"> Caribean American Life and General Insurance Company (Caribalico)</w:t>
      </w:r>
    </w:p>
    <w:p w:rsidR="002A09E3" w:rsidRPr="00CA3237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CA3237">
        <w:rPr>
          <w:sz w:val="24"/>
          <w:szCs w:val="24"/>
          <w:lang w:val="es-ES" w:eastAsia="es-ES_tradnl"/>
        </w:rPr>
        <w:t>2.- Seguros Unika, S.A.</w:t>
      </w:r>
    </w:p>
    <w:p w:rsidR="002A09E3" w:rsidRDefault="002A09E3" w:rsidP="002A09E3">
      <w:pPr>
        <w:spacing w:line="360" w:lineRule="auto"/>
        <w:jc w:val="both"/>
        <w:rPr>
          <w:sz w:val="24"/>
          <w:szCs w:val="24"/>
          <w:lang w:val="es-ES" w:eastAsia="es-ES_tradnl"/>
        </w:rPr>
      </w:pPr>
      <w:r w:rsidRPr="00CA3237">
        <w:rPr>
          <w:sz w:val="24"/>
          <w:szCs w:val="24"/>
          <w:lang w:val="es-ES" w:eastAsia="es-ES_tradnl"/>
        </w:rPr>
        <w:t>3.-</w:t>
      </w:r>
      <w:r>
        <w:rPr>
          <w:sz w:val="24"/>
          <w:szCs w:val="24"/>
          <w:lang w:val="es-ES" w:eastAsia="es-ES_tradnl"/>
        </w:rPr>
        <w:t xml:space="preserve"> Federal Insurance Company</w:t>
      </w:r>
    </w:p>
    <w:p w:rsidR="009E1078" w:rsidRDefault="009E1078" w:rsidP="002A09E3">
      <w:pPr>
        <w:spacing w:line="360" w:lineRule="auto"/>
        <w:jc w:val="both"/>
        <w:rPr>
          <w:sz w:val="24"/>
          <w:szCs w:val="24"/>
          <w:lang w:val="es-ES"/>
        </w:rPr>
      </w:pPr>
    </w:p>
    <w:p w:rsidR="002A09E3" w:rsidRPr="002A09E3" w:rsidRDefault="009E1078" w:rsidP="002A09E3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</w:t>
      </w:r>
      <w:r w:rsidR="002A09E3">
        <w:rPr>
          <w:sz w:val="24"/>
          <w:szCs w:val="24"/>
          <w:lang w:val="es-ES"/>
        </w:rPr>
        <w:t>realiz</w:t>
      </w:r>
      <w:r>
        <w:rPr>
          <w:sz w:val="24"/>
          <w:szCs w:val="24"/>
          <w:lang w:val="es-ES"/>
        </w:rPr>
        <w:t xml:space="preserve">o el </w:t>
      </w:r>
      <w:r w:rsidR="002A09E3">
        <w:rPr>
          <w:sz w:val="24"/>
          <w:szCs w:val="24"/>
          <w:lang w:val="es-ES"/>
        </w:rPr>
        <w:t xml:space="preserve">pago a los reclamantes de primas no consumidas (Vida útil y multiflexible) por un monto de </w:t>
      </w:r>
      <w:r w:rsidR="002A09E3" w:rsidRPr="002A09E3">
        <w:rPr>
          <w:b/>
          <w:sz w:val="24"/>
          <w:szCs w:val="24"/>
          <w:lang w:val="es-ES"/>
        </w:rPr>
        <w:t>RD$7,168,095.00</w:t>
      </w:r>
      <w:r w:rsidR="002A09E3">
        <w:rPr>
          <w:b/>
          <w:sz w:val="24"/>
          <w:szCs w:val="24"/>
          <w:lang w:val="es-ES"/>
        </w:rPr>
        <w:t xml:space="preserve"> (Siete millones</w:t>
      </w:r>
      <w:r w:rsidR="009C764D">
        <w:rPr>
          <w:b/>
          <w:sz w:val="24"/>
          <w:szCs w:val="24"/>
          <w:lang w:val="es-ES"/>
        </w:rPr>
        <w:t>,</w:t>
      </w:r>
      <w:r w:rsidR="002A09E3">
        <w:rPr>
          <w:b/>
          <w:sz w:val="24"/>
          <w:szCs w:val="24"/>
          <w:lang w:val="es-ES"/>
        </w:rPr>
        <w:t xml:space="preserve"> ciento sesenta y ocho mil</w:t>
      </w:r>
      <w:r w:rsidR="009C764D">
        <w:rPr>
          <w:b/>
          <w:sz w:val="24"/>
          <w:szCs w:val="24"/>
          <w:lang w:val="es-ES"/>
        </w:rPr>
        <w:t>,</w:t>
      </w:r>
      <w:r w:rsidR="002A09E3">
        <w:rPr>
          <w:b/>
          <w:sz w:val="24"/>
          <w:szCs w:val="24"/>
          <w:lang w:val="es-ES"/>
        </w:rPr>
        <w:t xml:space="preserve"> noventa y cinco pesos con 00/100) </w:t>
      </w:r>
      <w:r w:rsidR="002A09E3">
        <w:rPr>
          <w:sz w:val="24"/>
          <w:szCs w:val="24"/>
          <w:lang w:val="es-ES"/>
        </w:rPr>
        <w:t xml:space="preserve">a </w:t>
      </w:r>
      <w:r w:rsidR="00B27BCA">
        <w:rPr>
          <w:sz w:val="24"/>
          <w:szCs w:val="24"/>
          <w:lang w:val="es-ES"/>
        </w:rPr>
        <w:t>setecientos cincuenta y un</w:t>
      </w:r>
      <w:r w:rsidR="00260A6F">
        <w:rPr>
          <w:sz w:val="24"/>
          <w:szCs w:val="24"/>
          <w:lang w:val="es-ES"/>
        </w:rPr>
        <w:t>o</w:t>
      </w:r>
      <w:r w:rsidR="002A09E3">
        <w:rPr>
          <w:sz w:val="24"/>
          <w:szCs w:val="24"/>
          <w:lang w:val="es-ES"/>
        </w:rPr>
        <w:t xml:space="preserve"> (</w:t>
      </w:r>
      <w:r w:rsidR="00B27BCA">
        <w:rPr>
          <w:sz w:val="24"/>
          <w:szCs w:val="24"/>
          <w:lang w:val="es-ES"/>
        </w:rPr>
        <w:t>751</w:t>
      </w:r>
      <w:r w:rsidR="002A09E3">
        <w:rPr>
          <w:sz w:val="24"/>
          <w:szCs w:val="24"/>
          <w:lang w:val="es-ES"/>
        </w:rPr>
        <w:t>) reclamantes.</w:t>
      </w:r>
    </w:p>
    <w:p w:rsidR="000A5EAC" w:rsidRDefault="000A5EAC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Dirección Financiera analizó y autorizo los estados financieros de la Institución, así como</w:t>
      </w:r>
      <w:r w:rsidR="003863CC">
        <w:rPr>
          <w:sz w:val="24"/>
          <w:szCs w:val="24"/>
          <w:lang w:val="es-ES"/>
        </w:rPr>
        <w:t xml:space="preserve"> garantizó los pagos a oportuno</w:t>
      </w:r>
      <w:r>
        <w:rPr>
          <w:sz w:val="24"/>
          <w:szCs w:val="24"/>
          <w:lang w:val="es-ES"/>
        </w:rPr>
        <w:t xml:space="preserve"> a todos los empleados</w:t>
      </w:r>
      <w:r w:rsidR="003863CC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elaborados los Estados Financieros Básicos, Balance General y Estados de Resultados,</w:t>
      </w:r>
      <w:r w:rsidR="00D46A79">
        <w:rPr>
          <w:sz w:val="24"/>
          <w:szCs w:val="24"/>
          <w:lang w:val="es-ES"/>
        </w:rPr>
        <w:t xml:space="preserve"> hasta el mes de septiembre 2017</w:t>
      </w:r>
      <w:r>
        <w:rPr>
          <w:sz w:val="24"/>
          <w:szCs w:val="24"/>
          <w:lang w:val="es-ES"/>
        </w:rPr>
        <w:t>. De igual forma fueron llenados y enviados a la DGII los ITI para el pago de los impuestos retenidos.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D46A79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unidad de Activo Fijo actualizo el inventario físico, y el de Bienes Nacionales con los activos adquiridos. Fue elaborado el informe de ejecución presupuestaria mensual y por actividad</w:t>
      </w:r>
      <w:r w:rsidR="00AA58DE">
        <w:rPr>
          <w:sz w:val="24"/>
          <w:szCs w:val="24"/>
          <w:lang w:val="es-ES"/>
        </w:rPr>
        <w:t xml:space="preserve">, </w:t>
      </w:r>
      <w:r w:rsidR="005E71F5">
        <w:rPr>
          <w:sz w:val="24"/>
          <w:szCs w:val="24"/>
          <w:lang w:val="es-ES"/>
        </w:rPr>
        <w:t>así</w:t>
      </w:r>
      <w:r w:rsidR="00AA58DE">
        <w:rPr>
          <w:sz w:val="24"/>
          <w:szCs w:val="24"/>
          <w:lang w:val="es-ES"/>
        </w:rPr>
        <w:t xml:space="preserve"> como la formulación del proyecto de presupuesto para el 2018.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5E7746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trabajó con </w:t>
      </w:r>
      <w:r w:rsidR="009C764D">
        <w:rPr>
          <w:sz w:val="24"/>
          <w:szCs w:val="24"/>
          <w:lang w:val="es-ES"/>
        </w:rPr>
        <w:t>el mantenimiento de los sistemas informáticos de la institución, en la elaboración de reportes pedidos por los usuarios interesados, entrenamientos a usuarios en diferentes sistemas, soporte a las compañías aseguradoras y reas</w:t>
      </w:r>
      <w:r w:rsidR="0025783B">
        <w:rPr>
          <w:sz w:val="24"/>
          <w:szCs w:val="24"/>
          <w:lang w:val="es-ES"/>
        </w:rPr>
        <w:t xml:space="preserve">eguradoras, análisis y actualización del sistema de suministros, sustitución de los  sistemas de Recursos Humanos, Nomina y Seguros </w:t>
      </w:r>
      <w:r w:rsidR="005E71F5">
        <w:rPr>
          <w:sz w:val="24"/>
          <w:szCs w:val="24"/>
          <w:lang w:val="es-ES"/>
        </w:rPr>
        <w:t>Médicos</w:t>
      </w:r>
      <w:r w:rsidR="0025783B">
        <w:rPr>
          <w:sz w:val="24"/>
          <w:szCs w:val="24"/>
          <w:lang w:val="es-ES"/>
        </w:rPr>
        <w:t xml:space="preserve">, </w:t>
      </w:r>
      <w:r w:rsidR="005E71F5">
        <w:rPr>
          <w:sz w:val="24"/>
          <w:szCs w:val="24"/>
          <w:lang w:val="es-ES"/>
        </w:rPr>
        <w:t>así</w:t>
      </w:r>
      <w:r w:rsidR="0025783B">
        <w:rPr>
          <w:sz w:val="24"/>
          <w:szCs w:val="24"/>
          <w:lang w:val="es-ES"/>
        </w:rPr>
        <w:t xml:space="preserve"> </w:t>
      </w:r>
      <w:r w:rsidR="0002512A">
        <w:rPr>
          <w:sz w:val="24"/>
          <w:szCs w:val="24"/>
          <w:lang w:val="es-ES"/>
        </w:rPr>
        <w:t xml:space="preserve"> como la </w:t>
      </w:r>
      <w:r w:rsidR="005E71F5">
        <w:rPr>
          <w:sz w:val="24"/>
          <w:szCs w:val="24"/>
          <w:lang w:val="es-ES"/>
        </w:rPr>
        <w:t>Certificación</w:t>
      </w:r>
      <w:r w:rsidR="0002512A">
        <w:rPr>
          <w:sz w:val="24"/>
          <w:szCs w:val="24"/>
          <w:lang w:val="es-ES"/>
        </w:rPr>
        <w:t xml:space="preserve"> del Portal institucional y la instalación de los servicios de internet en el club de la institución.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5E7746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oficina de libre acceso a la información re</w:t>
      </w:r>
      <w:r w:rsidR="00620BA7">
        <w:rPr>
          <w:sz w:val="24"/>
          <w:szCs w:val="24"/>
          <w:lang w:val="es-ES"/>
        </w:rPr>
        <w:t>cibió un total de veintiochos (28</w:t>
      </w:r>
      <w:r>
        <w:rPr>
          <w:sz w:val="24"/>
          <w:szCs w:val="24"/>
          <w:lang w:val="es-ES"/>
        </w:rPr>
        <w:t>) solicitudes de información durante el año 201</w:t>
      </w:r>
      <w:r w:rsidR="003863CC">
        <w:rPr>
          <w:sz w:val="24"/>
          <w:szCs w:val="24"/>
          <w:lang w:val="es-ES"/>
        </w:rPr>
        <w:t>7</w:t>
      </w:r>
      <w:r>
        <w:rPr>
          <w:sz w:val="24"/>
          <w:szCs w:val="24"/>
          <w:lang w:val="es-ES"/>
        </w:rPr>
        <w:t>.</w:t>
      </w: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9C764D" w:rsidRDefault="00620BA7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Nos mantenemos integrados </w:t>
      </w:r>
      <w:r w:rsidR="009C764D">
        <w:rPr>
          <w:sz w:val="24"/>
          <w:szCs w:val="24"/>
          <w:lang w:val="es-ES"/>
        </w:rPr>
        <w:t>a la línea 311, que maneja la oficina Presidencial de Tecnología de la Información y comunicación (OTTIC).</w:t>
      </w:r>
    </w:p>
    <w:p w:rsidR="005E7746" w:rsidRDefault="005E7746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5C4FD0">
      <w:pPr>
        <w:spacing w:line="360" w:lineRule="auto"/>
        <w:jc w:val="both"/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Fueron recibidas un total de 14 denuncias, quejas y/o sugerencia, dando respuestas a cada una.</w:t>
      </w:r>
    </w:p>
    <w:p w:rsidR="005E7746" w:rsidRDefault="005E7746" w:rsidP="009C764D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764D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Hemos mantenido actualizado el sub-portal de transparencia, el cual ha sido calificado con 84.4 por la Dirección General de Ética e Integridad Gubernamental.</w:t>
      </w: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773245" w:rsidRPr="006F1EBB" w:rsidRDefault="00773245" w:rsidP="00773245">
      <w:pPr>
        <w:spacing w:line="360" w:lineRule="auto"/>
        <w:jc w:val="both"/>
        <w:rPr>
          <w:sz w:val="44"/>
          <w:szCs w:val="44"/>
          <w:lang w:val="es-ES"/>
        </w:rPr>
      </w:pPr>
      <w:r w:rsidRPr="00AD6F07">
        <w:rPr>
          <w:sz w:val="24"/>
          <w:szCs w:val="24"/>
          <w:lang w:val="es-ES"/>
        </w:rPr>
        <w:t xml:space="preserve">Fue elaborado el  Plan </w:t>
      </w:r>
      <w:r>
        <w:rPr>
          <w:sz w:val="24"/>
          <w:szCs w:val="24"/>
          <w:lang w:val="es-ES"/>
        </w:rPr>
        <w:t>Operativo y el Plan Anual de Compras y Contrataciones para el p</w:t>
      </w:r>
      <w:r w:rsidRPr="00AD6F07">
        <w:rPr>
          <w:sz w:val="24"/>
          <w:szCs w:val="24"/>
          <w:lang w:val="es-ES"/>
        </w:rPr>
        <w:t>eriodo  2017</w:t>
      </w:r>
      <w:r>
        <w:rPr>
          <w:sz w:val="24"/>
          <w:szCs w:val="24"/>
          <w:lang w:val="es-ES"/>
        </w:rPr>
        <w:t xml:space="preserve"> y 2018 así como también el diagnostico de la estructura orgánica de la Superintendencia.</w:t>
      </w: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CA26D9" w:rsidRDefault="00CA26D9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9C764D" w:rsidRDefault="009C764D" w:rsidP="009C6647">
      <w:pPr>
        <w:spacing w:line="360" w:lineRule="auto"/>
        <w:jc w:val="both"/>
        <w:rPr>
          <w:sz w:val="24"/>
          <w:szCs w:val="24"/>
          <w:lang w:val="es-ES"/>
        </w:rPr>
      </w:pPr>
    </w:p>
    <w:p w:rsidR="00091105" w:rsidRDefault="00091105" w:rsidP="00D678E6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D678E6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D678E6">
      <w:pPr>
        <w:spacing w:line="360" w:lineRule="auto"/>
        <w:jc w:val="both"/>
        <w:rPr>
          <w:sz w:val="24"/>
          <w:szCs w:val="24"/>
          <w:lang w:val="es-ES"/>
        </w:rPr>
      </w:pPr>
    </w:p>
    <w:p w:rsidR="003543E7" w:rsidRDefault="003543E7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1D748B" w:rsidRDefault="001D748B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BE29C4" w:rsidRDefault="00BE29C4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9E1078" w:rsidRDefault="009E1078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76115" w:rsidRDefault="00676115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72722B" w:rsidRDefault="0072722B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69431E" w:rsidRDefault="0069431E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C03902" w:rsidRDefault="00C03902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C03902" w:rsidRDefault="00C03902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C03902" w:rsidRDefault="00C03902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C03902" w:rsidRDefault="00C03902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C03902" w:rsidRDefault="00C03902" w:rsidP="002A6A8E">
      <w:pPr>
        <w:spacing w:line="360" w:lineRule="auto"/>
        <w:jc w:val="both"/>
        <w:rPr>
          <w:sz w:val="24"/>
          <w:szCs w:val="24"/>
          <w:lang w:val="es-ES"/>
        </w:rPr>
      </w:pPr>
    </w:p>
    <w:p w:rsidR="001012F5" w:rsidRPr="00232B9B" w:rsidRDefault="001012F5" w:rsidP="005C4FD0">
      <w:pPr>
        <w:tabs>
          <w:tab w:val="left" w:pos="3037"/>
        </w:tabs>
        <w:jc w:val="center"/>
        <w:outlineLvl w:val="0"/>
        <w:rPr>
          <w:color w:val="003366"/>
          <w:sz w:val="72"/>
          <w:szCs w:val="72"/>
        </w:rPr>
      </w:pPr>
      <w:r w:rsidRPr="00232B9B">
        <w:rPr>
          <w:color w:val="003366"/>
          <w:sz w:val="72"/>
          <w:szCs w:val="72"/>
        </w:rPr>
        <w:t>ANEXOS</w:t>
      </w:r>
    </w:p>
    <w:p w:rsidR="001012F5" w:rsidRDefault="001012F5" w:rsidP="001012F5">
      <w:pPr>
        <w:rPr>
          <w:sz w:val="44"/>
          <w:szCs w:val="44"/>
        </w:rPr>
      </w:pPr>
    </w:p>
    <w:p w:rsidR="00C72498" w:rsidRDefault="00C72498" w:rsidP="001012F5">
      <w:pPr>
        <w:rPr>
          <w:sz w:val="44"/>
          <w:szCs w:val="44"/>
        </w:rPr>
      </w:pPr>
    </w:p>
    <w:p w:rsidR="00C72498" w:rsidRDefault="00C72498" w:rsidP="001012F5">
      <w:pPr>
        <w:rPr>
          <w:sz w:val="44"/>
          <w:szCs w:val="44"/>
        </w:rPr>
      </w:pPr>
    </w:p>
    <w:p w:rsidR="00C72498" w:rsidRDefault="00C72498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BC1F44" w:rsidRDefault="00BC1F44" w:rsidP="001012F5">
      <w:pPr>
        <w:rPr>
          <w:sz w:val="44"/>
          <w:szCs w:val="44"/>
        </w:rPr>
      </w:pPr>
    </w:p>
    <w:p w:rsidR="00055F8F" w:rsidRDefault="00055F8F" w:rsidP="001012F5">
      <w:pPr>
        <w:rPr>
          <w:sz w:val="44"/>
          <w:szCs w:val="44"/>
        </w:rPr>
      </w:pPr>
    </w:p>
    <w:p w:rsidR="00055F8F" w:rsidRDefault="00055F8F" w:rsidP="001012F5">
      <w:pPr>
        <w:rPr>
          <w:sz w:val="44"/>
          <w:szCs w:val="44"/>
        </w:rPr>
      </w:pPr>
    </w:p>
    <w:p w:rsidR="00055F8F" w:rsidRDefault="00055F8F" w:rsidP="001012F5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tbl>
      <w:tblPr>
        <w:tblW w:w="8879" w:type="dxa"/>
        <w:tblInd w:w="25" w:type="dxa"/>
        <w:tblCellMar>
          <w:left w:w="70" w:type="dxa"/>
          <w:right w:w="70" w:type="dxa"/>
        </w:tblCellMar>
        <w:tblLook w:val="04A0"/>
      </w:tblPr>
      <w:tblGrid>
        <w:gridCol w:w="8879"/>
      </w:tblGrid>
      <w:tr w:rsidR="004137BD" w:rsidRPr="0069431E" w:rsidTr="00461893">
        <w:trPr>
          <w:trHeight w:val="300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69431E" w:rsidRDefault="004137BD" w:rsidP="004618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6943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CUADRO No.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4</w:t>
            </w:r>
          </w:p>
        </w:tc>
      </w:tr>
      <w:tr w:rsidR="004137BD" w:rsidRPr="0069431E" w:rsidTr="00461893">
        <w:trPr>
          <w:trHeight w:val="360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69431E" w:rsidRDefault="004137BD" w:rsidP="00461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MERCADO ASEGURADOR DOMINICANO</w:t>
            </w:r>
          </w:p>
        </w:tc>
      </w:tr>
      <w:tr w:rsidR="004137BD" w:rsidRPr="0069431E" w:rsidTr="00461893">
        <w:trPr>
          <w:trHeight w:val="300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69431E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 xml:space="preserve">Primas Netas y Exoneradas Mensualmente y Variación </w:t>
            </w:r>
          </w:p>
        </w:tc>
      </w:tr>
      <w:tr w:rsidR="004137BD" w:rsidRPr="0069431E" w:rsidTr="00461893">
        <w:trPr>
          <w:trHeight w:val="300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69431E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Empresas Aseguradoras</w:t>
            </w:r>
          </w:p>
        </w:tc>
      </w:tr>
      <w:tr w:rsidR="004137BD" w:rsidRPr="0069431E" w:rsidTr="00461893">
        <w:trPr>
          <w:trHeight w:val="300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69431E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69431E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4137BD" w:rsidRPr="0069431E" w:rsidTr="004137BD">
        <w:trPr>
          <w:trHeight w:val="326"/>
        </w:trPr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69431E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Año 2017</w:t>
            </w:r>
            <w:r w:rsidRPr="0069431E">
              <w:rPr>
                <w:rFonts w:ascii="Arial" w:hAnsi="Arial" w:cs="Arial"/>
                <w:b/>
                <w:bCs/>
                <w:lang w:val="es-ES"/>
              </w:rPr>
              <w:t>*</w:t>
            </w:r>
          </w:p>
        </w:tc>
      </w:tr>
    </w:tbl>
    <w:tbl>
      <w:tblPr>
        <w:tblpPr w:leftFromText="141" w:rightFromText="141" w:vertAnchor="text" w:horzAnchor="margin" w:tblpY="33"/>
        <w:tblW w:w="8834" w:type="dxa"/>
        <w:tblCellMar>
          <w:left w:w="0" w:type="dxa"/>
          <w:right w:w="0" w:type="dxa"/>
        </w:tblCellMar>
        <w:tblLook w:val="04A0"/>
      </w:tblPr>
      <w:tblGrid>
        <w:gridCol w:w="1105"/>
        <w:gridCol w:w="1481"/>
        <w:gridCol w:w="1481"/>
        <w:gridCol w:w="1481"/>
        <w:gridCol w:w="1224"/>
        <w:gridCol w:w="2062"/>
      </w:tblGrid>
      <w:tr w:rsidR="004137BD" w:rsidRPr="00DF5FAF" w:rsidTr="00461893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Meses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Primas Netas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  <w:tc>
          <w:tcPr>
            <w:tcW w:w="206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Impuesto 16% dejado de percibir por el estado, por Meses</w:t>
            </w:r>
          </w:p>
        </w:tc>
      </w:tr>
      <w:tr w:rsidR="004137BD" w:rsidRPr="00DF5FAF" w:rsidTr="00461893">
        <w:trPr>
          <w:trHeight w:val="8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06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Enero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2,711,191,844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903,730,615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3,614,922,458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1.88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144,596,898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Febrero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2,583,363,437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861,121,146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3,444,484,582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1.79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137,779,383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Marzo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3,340,494,709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1,113,498,236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4,453,992,945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2.31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178,159,718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Abril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2,803,718,062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934,572,687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3,738,290,749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1.94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149,531,630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Mayo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3,369,494,937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1,123,164,979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4,492,659,917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2.33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179,706,397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Junio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3,053,621,821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1,017,873,940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4,071,495,761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2.12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162,859,830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Julio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3,138,341,676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1,046,113,892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4,184,455,568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2.17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167,378,223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Agosto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3,164,158,215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1,054,719,405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4,218,877,621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2.19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168,755,105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Septiembre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3,205,588,162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1,068,529,387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4,274,117,549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2.22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170,964,702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Octubre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2,691,402,275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897,134,092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3,588,536,367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1.86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143,541,455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Noviembre*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2,653,678,642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884,559,547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3,538,238,189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1.84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141,529,528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>Diciembre*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3,373,276,571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1,124,425,524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4,497,702,095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2.34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F5FAF">
              <w:rPr>
                <w:rFonts w:ascii="Arial" w:hAnsi="Arial" w:cs="Arial"/>
                <w:sz w:val="16"/>
                <w:szCs w:val="16"/>
                <w:lang w:val="es-ES"/>
              </w:rPr>
              <w:t xml:space="preserve">179,908,084 </w:t>
            </w:r>
          </w:p>
        </w:tc>
      </w:tr>
      <w:tr w:rsidR="004137BD" w:rsidRPr="00DF5FAF" w:rsidTr="00461893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>Totales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 xml:space="preserve">36,088,330,351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 xml:space="preserve">12,029,443,450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 xml:space="preserve">48,117,773,801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 xml:space="preserve">25.00 </w:t>
            </w: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lang w:val="es-ES"/>
              </w:rPr>
              <w:t xml:space="preserve">1,924,710,952 </w:t>
            </w: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DF5FAF">
              <w:rPr>
                <w:rFonts w:ascii="Arial" w:hAnsi="Arial" w:cs="Arial"/>
                <w:sz w:val="14"/>
                <w:szCs w:val="14"/>
                <w:lang w:val="es-ES"/>
              </w:rPr>
              <w:t>Fuente: Superintendencia de Seguros, Departamento de Análisis y Estadísticas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4137BD" w:rsidRPr="00DF5FAF" w:rsidTr="004618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4137BD" w:rsidRPr="00DF5FAF" w:rsidRDefault="004137BD" w:rsidP="00461893">
            <w:pPr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</w:pPr>
            <w:r w:rsidRPr="00DF5FAF">
              <w:rPr>
                <w:rFonts w:ascii="Arial" w:hAnsi="Arial" w:cs="Arial"/>
                <w:b/>
                <w:bCs/>
                <w:sz w:val="14"/>
                <w:szCs w:val="14"/>
                <w:lang w:val="es-ES"/>
              </w:rPr>
              <w:t>* Octubre a Diciembre 2017 proyectados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DF5FAF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20479D" w:rsidRDefault="0020479D" w:rsidP="004137BD">
      <w:pPr>
        <w:ind w:right="141"/>
        <w:rPr>
          <w:sz w:val="44"/>
          <w:szCs w:val="44"/>
        </w:rPr>
      </w:pPr>
    </w:p>
    <w:p w:rsidR="00D55A68" w:rsidRPr="0069431E" w:rsidRDefault="00D55A68" w:rsidP="001012F5">
      <w:pPr>
        <w:rPr>
          <w:sz w:val="44"/>
          <w:szCs w:val="44"/>
          <w:lang w:val="es-ES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69431E" w:rsidRDefault="0069431E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4137BD" w:rsidRDefault="004137BD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060AA4" w:rsidRDefault="00060AA4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tbl>
      <w:tblPr>
        <w:tblpPr w:leftFromText="141" w:rightFromText="141" w:vertAnchor="text" w:horzAnchor="margin" w:tblpY="-38"/>
        <w:tblW w:w="9697" w:type="dxa"/>
        <w:tblCellMar>
          <w:left w:w="70" w:type="dxa"/>
          <w:right w:w="70" w:type="dxa"/>
        </w:tblCellMar>
        <w:tblLook w:val="04A0"/>
      </w:tblPr>
      <w:tblGrid>
        <w:gridCol w:w="9697"/>
      </w:tblGrid>
      <w:tr w:rsidR="004137BD" w:rsidRPr="00E2061F" w:rsidTr="00461893">
        <w:trPr>
          <w:trHeight w:val="300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E2061F" w:rsidRDefault="004137BD" w:rsidP="004618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CUADRO No.5</w:t>
            </w:r>
          </w:p>
        </w:tc>
      </w:tr>
      <w:tr w:rsidR="004137BD" w:rsidRPr="00E2061F" w:rsidTr="00461893">
        <w:trPr>
          <w:trHeight w:val="315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E2061F" w:rsidRDefault="004137BD" w:rsidP="004618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E2061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Mercado Asegurador Dominicano</w:t>
            </w:r>
          </w:p>
        </w:tc>
      </w:tr>
      <w:tr w:rsidR="004137BD" w:rsidRPr="00E2061F" w:rsidTr="00461893">
        <w:trPr>
          <w:trHeight w:val="300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E2061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2061F">
              <w:rPr>
                <w:rFonts w:ascii="Arial" w:hAnsi="Arial" w:cs="Arial"/>
                <w:b/>
                <w:bCs/>
                <w:lang w:val="es-ES"/>
              </w:rPr>
              <w:t>Primas Netas y Exoneradas por Ramos y Porcentajes</w:t>
            </w:r>
          </w:p>
        </w:tc>
      </w:tr>
      <w:tr w:rsidR="004137BD" w:rsidRPr="00E2061F" w:rsidTr="00461893">
        <w:trPr>
          <w:trHeight w:val="300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E2061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2061F">
              <w:rPr>
                <w:rFonts w:ascii="Arial" w:hAnsi="Arial" w:cs="Arial"/>
                <w:b/>
                <w:bCs/>
                <w:lang w:val="es-ES"/>
              </w:rPr>
              <w:t>Empresas Aseguradoras</w:t>
            </w:r>
          </w:p>
        </w:tc>
      </w:tr>
      <w:tr w:rsidR="004137BD" w:rsidRPr="00E2061F" w:rsidTr="00461893">
        <w:trPr>
          <w:trHeight w:val="300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E2061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2061F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4137BD" w:rsidRPr="00E2061F" w:rsidTr="00461893">
        <w:trPr>
          <w:trHeight w:val="300"/>
        </w:trPr>
        <w:tc>
          <w:tcPr>
            <w:tcW w:w="9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E2061F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Año 2017</w:t>
            </w:r>
            <w:r w:rsidRPr="00E2061F">
              <w:rPr>
                <w:rFonts w:ascii="Arial" w:hAnsi="Arial" w:cs="Arial"/>
                <w:b/>
                <w:bCs/>
                <w:lang w:val="es-ES"/>
              </w:rPr>
              <w:t>*</w:t>
            </w:r>
          </w:p>
        </w:tc>
      </w:tr>
    </w:tbl>
    <w:tbl>
      <w:tblPr>
        <w:tblW w:w="9684" w:type="dxa"/>
        <w:tblCellMar>
          <w:left w:w="0" w:type="dxa"/>
          <w:right w:w="0" w:type="dxa"/>
        </w:tblCellMar>
        <w:tblLook w:val="04A0"/>
      </w:tblPr>
      <w:tblGrid>
        <w:gridCol w:w="1116"/>
        <w:gridCol w:w="1481"/>
        <w:gridCol w:w="1559"/>
        <w:gridCol w:w="1843"/>
        <w:gridCol w:w="1417"/>
        <w:gridCol w:w="2268"/>
      </w:tblGrid>
      <w:tr w:rsidR="004137BD" w:rsidRPr="00127EC0" w:rsidTr="00461893">
        <w:trPr>
          <w:trHeight w:val="450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Ramos de Seguros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Primas Netas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Impuesto 16% dejado de percibir por el estado por Ramos</w:t>
            </w:r>
          </w:p>
        </w:tc>
      </w:tr>
      <w:tr w:rsidR="004137BD" w:rsidRPr="00127EC0" w:rsidTr="00461893">
        <w:trPr>
          <w:trHeight w:val="870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8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Vida Individual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160,176,829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53,392,276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213,569,105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0.11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8,542,764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Vida Colectivo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6,110,602,594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2,036,867,531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8,147,470,126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4.23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325,898,805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Salud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6,985,077,513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2,328,359,171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9,313,436,683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4.84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372,537,467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Accidentes Personales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423,980,794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141,326,931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565,307,725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0.29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22,612,309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Incendio y Aliados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8,963,672,782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2,987,890,927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11,951,563,710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6.21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478,062,548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Naves Marítimas y Aéreas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293,465,504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97,821,835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391,287,339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0.20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15,651,494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Transporte de Carga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479,042,878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159,680,959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638,723,837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0.33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25,548,953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Vehículos de Motor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9,932,192,819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3,310,730,940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13,242,923,758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6.88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529,716,950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Agrícola y Pecuario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267,930,283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89,310,094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357,240,378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0.19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14,289,615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Fianzas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670,304,065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223,434,688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893,738,754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0.46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35,749,550 </w:t>
            </w:r>
          </w:p>
        </w:tc>
      </w:tr>
      <w:tr w:rsidR="004137BD" w:rsidRPr="00127EC0" w:rsidTr="00461893">
        <w:trPr>
          <w:trHeight w:val="30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Otros Seguros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1,801,884,290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600,628,097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2,402,512,387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1.25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96,100,495 </w:t>
            </w:r>
          </w:p>
        </w:tc>
      </w:tr>
      <w:tr w:rsidR="004137BD" w:rsidRPr="00127EC0" w:rsidTr="00461893">
        <w:trPr>
          <w:trHeight w:val="360"/>
        </w:trPr>
        <w:tc>
          <w:tcPr>
            <w:tcW w:w="11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Total General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36,088,330,351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12,029,443,450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48,117,773,801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 xml:space="preserve">25.00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 xml:space="preserve">1,924,710,952 </w:t>
            </w:r>
          </w:p>
        </w:tc>
      </w:tr>
    </w:tbl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4137BD" w:rsidP="004137BD">
      <w:pPr>
        <w:rPr>
          <w:sz w:val="44"/>
          <w:szCs w:val="44"/>
        </w:rPr>
      </w:pPr>
    </w:p>
    <w:p w:rsidR="004137BD" w:rsidRDefault="00055F8F" w:rsidP="00055F8F">
      <w:pPr>
        <w:tabs>
          <w:tab w:val="left" w:pos="91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4137BD" w:rsidRDefault="004137BD" w:rsidP="004137BD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-14217"/>
        <w:tblW w:w="10576" w:type="dxa"/>
        <w:tblCellMar>
          <w:left w:w="70" w:type="dxa"/>
          <w:right w:w="70" w:type="dxa"/>
        </w:tblCellMar>
        <w:tblLook w:val="04A0"/>
      </w:tblPr>
      <w:tblGrid>
        <w:gridCol w:w="6393"/>
        <w:gridCol w:w="1312"/>
        <w:gridCol w:w="1416"/>
        <w:gridCol w:w="1295"/>
        <w:gridCol w:w="146"/>
        <w:gridCol w:w="14"/>
      </w:tblGrid>
      <w:tr w:rsidR="004137BD" w:rsidRPr="00FC2C75" w:rsidTr="00461893">
        <w:trPr>
          <w:gridAfter w:val="1"/>
          <w:wAfter w:w="14" w:type="dxa"/>
          <w:trHeight w:val="245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Default="004137BD" w:rsidP="0046189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4137BD" w:rsidRDefault="004137BD" w:rsidP="004618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  <w:p w:rsidR="004137BD" w:rsidRPr="00FC2C75" w:rsidRDefault="004137BD" w:rsidP="004618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CUADRO No.6</w:t>
            </w:r>
          </w:p>
        </w:tc>
      </w:tr>
      <w:tr w:rsidR="004137BD" w:rsidRPr="00FC2C75" w:rsidTr="00461893">
        <w:trPr>
          <w:gridAfter w:val="1"/>
          <w:wAfter w:w="14" w:type="dxa"/>
          <w:trHeight w:val="296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</w:pPr>
            <w:r w:rsidRPr="00FC2C75">
              <w:rPr>
                <w:rFonts w:ascii="Arial" w:hAnsi="Arial" w:cs="Arial"/>
                <w:b/>
                <w:bCs/>
                <w:sz w:val="28"/>
                <w:szCs w:val="28"/>
                <w:lang w:val="es-ES"/>
              </w:rPr>
              <w:t>Mercado Asegurador Dominicano</w:t>
            </w:r>
          </w:p>
        </w:tc>
      </w:tr>
      <w:tr w:rsidR="004137BD" w:rsidRPr="00FC2C75" w:rsidTr="00461893">
        <w:trPr>
          <w:gridAfter w:val="1"/>
          <w:wAfter w:w="14" w:type="dxa"/>
          <w:trHeight w:val="245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FC2C75">
              <w:rPr>
                <w:rFonts w:ascii="Arial" w:hAnsi="Arial" w:cs="Arial"/>
                <w:b/>
                <w:bCs/>
                <w:lang w:val="es-ES"/>
              </w:rPr>
              <w:t>Primas Netas y Exoneradas por Compañías y Porcentajes</w:t>
            </w:r>
          </w:p>
        </w:tc>
      </w:tr>
      <w:tr w:rsidR="004137BD" w:rsidRPr="00FC2C75" w:rsidTr="00461893">
        <w:trPr>
          <w:gridAfter w:val="1"/>
          <w:wAfter w:w="14" w:type="dxa"/>
          <w:trHeight w:val="245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FC2C75">
              <w:rPr>
                <w:rFonts w:ascii="Arial" w:hAnsi="Arial" w:cs="Arial"/>
                <w:b/>
                <w:bCs/>
                <w:lang w:val="es-ES"/>
              </w:rPr>
              <w:t>Empresas Aseguradoras</w:t>
            </w:r>
          </w:p>
        </w:tc>
      </w:tr>
      <w:tr w:rsidR="004137BD" w:rsidRPr="00FC2C75" w:rsidTr="00461893">
        <w:trPr>
          <w:gridAfter w:val="1"/>
          <w:wAfter w:w="14" w:type="dxa"/>
          <w:trHeight w:val="245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FC2C75">
              <w:rPr>
                <w:rFonts w:ascii="Arial" w:hAnsi="Arial" w:cs="Arial"/>
                <w:b/>
                <w:bCs/>
                <w:lang w:val="es-ES"/>
              </w:rPr>
              <w:t>(Valores en RD$)</w:t>
            </w:r>
          </w:p>
        </w:tc>
      </w:tr>
      <w:tr w:rsidR="004137BD" w:rsidRPr="00FC2C75" w:rsidTr="00461893">
        <w:trPr>
          <w:gridAfter w:val="1"/>
          <w:wAfter w:w="14" w:type="dxa"/>
          <w:trHeight w:val="245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Año 2017</w:t>
            </w:r>
            <w:r w:rsidRPr="00FC2C75">
              <w:rPr>
                <w:rFonts w:ascii="Arial" w:hAnsi="Arial" w:cs="Arial"/>
                <w:b/>
                <w:bCs/>
                <w:lang w:val="es-ES"/>
              </w:rPr>
              <w:t>*</w:t>
            </w:r>
          </w:p>
        </w:tc>
      </w:tr>
      <w:tr w:rsidR="004137BD" w:rsidRPr="00FC2C75" w:rsidTr="00461893">
        <w:trPr>
          <w:trHeight w:val="163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Default="004137BD" w:rsidP="0046189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  <w:p w:rsidR="004137BD" w:rsidRPr="00FC2C75" w:rsidRDefault="004137BD" w:rsidP="0046189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BD" w:rsidRPr="00FC2C75" w:rsidRDefault="004137BD" w:rsidP="00461893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tbl>
      <w:tblPr>
        <w:tblW w:w="10632" w:type="dxa"/>
        <w:tblInd w:w="-376" w:type="dxa"/>
        <w:tblCellMar>
          <w:left w:w="0" w:type="dxa"/>
          <w:right w:w="0" w:type="dxa"/>
        </w:tblCellMar>
        <w:tblLook w:val="04A0"/>
      </w:tblPr>
      <w:tblGrid>
        <w:gridCol w:w="1310"/>
        <w:gridCol w:w="2093"/>
        <w:gridCol w:w="1418"/>
        <w:gridCol w:w="1559"/>
        <w:gridCol w:w="1417"/>
        <w:gridCol w:w="1418"/>
        <w:gridCol w:w="1417"/>
      </w:tblGrid>
      <w:tr w:rsidR="004137BD" w:rsidRPr="00127EC0" w:rsidTr="00461893">
        <w:trPr>
          <w:trHeight w:val="335"/>
        </w:trPr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Posición 2017*</w:t>
            </w:r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Compañías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 xml:space="preserve">Primas Netas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Primas Exoneradas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Totales Primas Netas y Exoneradas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Porcentaje (%) Primas Exoneradas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lang w:val="es-ES"/>
              </w:rPr>
              <w:t>Impuesto 16% dejado de percibir por el estado por Cias</w:t>
            </w:r>
          </w:p>
        </w:tc>
      </w:tr>
      <w:tr w:rsidR="004137BD" w:rsidRPr="00127EC0" w:rsidTr="00461893">
        <w:trPr>
          <w:trHeight w:val="837"/>
        </w:trPr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0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Universal,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7,833,240,194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2,611,080,065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10,444,320,259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5.43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417,772,810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Reservas,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5,468,827,996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1,822,942,665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7,291,770,661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3.79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291,670,826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MAPFRE BHD </w:t>
            </w:r>
            <w:r w:rsidR="005E71F5" w:rsidRPr="00127EC0">
              <w:rPr>
                <w:rFonts w:ascii="Arial" w:hAnsi="Arial" w:cs="Arial"/>
                <w:sz w:val="16"/>
                <w:szCs w:val="16"/>
                <w:lang w:val="es-ES"/>
              </w:rPr>
              <w:t>Cía.</w:t>
            </w: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4,878,370,430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1,626,123,477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6,504,493,907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3.38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260,179,756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Humano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3,882,791,340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1,294,263,780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5,177,055,119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2.69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207,082,205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La Colonial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3,126,656,913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1,042,218,971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4,168,875,885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2.17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166,755,035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Sura,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2,855,639,921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951,879,974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3,807,519,894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1.98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152,300,796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Worldwide,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1,270,934,540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423,644,847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1,694,579,387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0.88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67,783,175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8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Scotia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1,034,695,615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344,898,538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1,379,594,154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0.72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55,183,766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9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General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1,029,015,293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343,005,098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1,372,020,391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0.71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54,880,816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La Monumental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698,872,870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232,957,623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931,830,493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0.48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37,273,220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11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Seguros </w:t>
            </w:r>
            <w:r w:rsidR="005E71F5" w:rsidRPr="00127EC0">
              <w:rPr>
                <w:rFonts w:ascii="Arial" w:hAnsi="Arial" w:cs="Arial"/>
                <w:sz w:val="16"/>
                <w:szCs w:val="16"/>
                <w:lang w:val="es-ES"/>
              </w:rPr>
              <w:t>Pepín</w:t>
            </w: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635,552,590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211,850,863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847,403,454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0.44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33,896,138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12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Banesco Seguros, S.A.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380,693,048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126,897,683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507,590,731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0.26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20,303,629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13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5E71F5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Atlántica</w:t>
            </w:r>
            <w:r w:rsidR="004137BD"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366,526,239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122,175,413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488,701,652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0.25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19,548,066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14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Patria, S. A. Compañía de Seguros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311,937,861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103,979,287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415,917,148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16,636,686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Aseguradora Agropecuaria Dominicana.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299,144,857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99,714,952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398,859,809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0.21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15,954,392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16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Compañía Dominicana de Seguros, S.R.L.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291,946,087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97,315,362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389,261,450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0.20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15,570,458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17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Cooperativa Nacional de Seguros, Inc.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263,045,453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87,681,818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350,727,271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14,029,091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18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Angloamericana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243,368,186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81,122,729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324,490,915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12,979,637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19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Cuna Mutual Insurance Society Dominicana, S.A.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196,744,570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65,581,523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262,326,094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0.14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10,493,044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La Internacional,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174,485,727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58,161,909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232,647,635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9,305,905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21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Bupa Dominicana, S.A.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170,611,430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56,870,477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227,481,906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9,099,276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22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BMI Compañía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150,678,152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50,226,051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200,904,202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8,036,168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23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La Comercial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142,827,300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47,609,100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190,436,400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0.10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7,617,456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24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Confederación del </w:t>
            </w:r>
            <w:r w:rsidR="005E71F5" w:rsidRPr="00127EC0">
              <w:rPr>
                <w:rFonts w:ascii="Arial" w:hAnsi="Arial" w:cs="Arial"/>
                <w:sz w:val="16"/>
                <w:szCs w:val="16"/>
                <w:lang w:val="es-ES"/>
              </w:rPr>
              <w:t>Canadá</w:t>
            </w: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 Dominicana.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95,231,527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31,743,842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126,975,369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5,079,015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Seguros Ademi, S.A.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65,027,451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21,675,817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86,703,268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0.05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3,468,131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26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Amigos Compañía de Seguros,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48,316,825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16,105,608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64,422,434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2,576,897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27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Autoseguro,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45,707,698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15,235,899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60,943,597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2,437,744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28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APS, SRL.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45,361,940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15,120,647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60,482,587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2,419,303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29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Atrio Seguros, S.A.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40,550,840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13,516,947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54,067,787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2,162,711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Constitución,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40,447,712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13,482,571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53,930,282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0.03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2,157,211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31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MultiSeguros Mehr, S. A.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1,079,746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359,915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1,439,662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0.00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57,586 </w:t>
            </w: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32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La Antillana, S.A.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33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Aseguradora Agropecuaria Dominicana. S. 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34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 xml:space="preserve">Cuna Mutual Insurance Society </w:t>
            </w:r>
            <w:r w:rsidR="005E71F5" w:rsidRPr="00127EC0">
              <w:rPr>
                <w:rFonts w:ascii="Arial" w:hAnsi="Arial" w:cs="Arial"/>
                <w:sz w:val="16"/>
                <w:szCs w:val="16"/>
                <w:lang w:val="es-ES"/>
              </w:rPr>
              <w:t>Dominicana</w:t>
            </w: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, S.A.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Seguros Federal, S.R.L.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sz w:val="16"/>
                <w:szCs w:val="16"/>
                <w:lang w:val="es-ES"/>
              </w:rPr>
              <w:t>36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127EC0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4137BD" w:rsidRPr="00127EC0" w:rsidTr="00461893">
        <w:trPr>
          <w:trHeight w:val="335"/>
        </w:trPr>
        <w:tc>
          <w:tcPr>
            <w:tcW w:w="13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bottom"/>
            <w:hideMark/>
          </w:tcPr>
          <w:p w:rsidR="004137BD" w:rsidRPr="00127EC0" w:rsidRDefault="004137BD" w:rsidP="00461893">
            <w:pP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Total General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36,088,330,351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12,029,443,450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48,117,773,801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25.00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4137BD" w:rsidRPr="00127EC0" w:rsidRDefault="004137BD" w:rsidP="004618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127EC0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1,924,710,952 </w:t>
            </w:r>
          </w:p>
        </w:tc>
      </w:tr>
    </w:tbl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tbl>
      <w:tblPr>
        <w:tblW w:w="95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20"/>
        <w:gridCol w:w="1670"/>
        <w:gridCol w:w="1670"/>
        <w:gridCol w:w="1792"/>
        <w:gridCol w:w="1240"/>
      </w:tblGrid>
      <w:tr w:rsidR="00E1207D" w:rsidRPr="00E1207D" w:rsidTr="00D12F76">
        <w:trPr>
          <w:trHeight w:val="315"/>
        </w:trPr>
        <w:tc>
          <w:tcPr>
            <w:tcW w:w="9547" w:type="dxa"/>
            <w:gridSpan w:val="5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CA26D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C</w:t>
            </w:r>
            <w:r w:rsidR="00CA26D9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uadro</w:t>
            </w:r>
            <w:r w:rsidRPr="00E1207D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 xml:space="preserve"> No.</w:t>
            </w:r>
            <w:r w:rsidR="005E7746">
              <w:rPr>
                <w:rFonts w:ascii="Calibri" w:hAnsi="Calibri" w:cs="Calibri"/>
                <w:b/>
                <w:color w:val="000000"/>
                <w:sz w:val="22"/>
                <w:szCs w:val="22"/>
                <w:lang w:val="es-ES"/>
              </w:rPr>
              <w:t>7</w:t>
            </w:r>
          </w:p>
        </w:tc>
      </w:tr>
      <w:tr w:rsidR="00E1207D" w:rsidRPr="00E1207D" w:rsidTr="00D12F76">
        <w:trPr>
          <w:trHeight w:val="360"/>
        </w:trPr>
        <w:tc>
          <w:tcPr>
            <w:tcW w:w="9547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s-ES"/>
              </w:rPr>
              <w:t>Principales Indicadores Financieros y Estadísticos</w:t>
            </w:r>
          </w:p>
        </w:tc>
      </w:tr>
      <w:tr w:rsidR="00E1207D" w:rsidRPr="00E1207D" w:rsidTr="00D12F76">
        <w:trPr>
          <w:trHeight w:val="315"/>
        </w:trPr>
        <w:tc>
          <w:tcPr>
            <w:tcW w:w="9547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D12F76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2015</w:t>
            </w:r>
            <w:r w:rsidR="00E1207D"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-201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6</w:t>
            </w:r>
          </w:p>
        </w:tc>
      </w:tr>
      <w:tr w:rsidR="00E1207D" w:rsidRPr="00E1207D" w:rsidTr="00D12F76">
        <w:trPr>
          <w:trHeight w:val="315"/>
        </w:trPr>
        <w:tc>
          <w:tcPr>
            <w:tcW w:w="9547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(Valores en RD$)</w:t>
            </w:r>
          </w:p>
        </w:tc>
      </w:tr>
      <w:tr w:rsidR="00E1207D" w:rsidRPr="00E1207D" w:rsidTr="00D12F76">
        <w:trPr>
          <w:trHeight w:val="315"/>
        </w:trPr>
        <w:tc>
          <w:tcPr>
            <w:tcW w:w="9547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vMerge w:val="restar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Variación</w:t>
            </w:r>
          </w:p>
        </w:tc>
      </w:tr>
      <w:tr w:rsidR="00E1207D" w:rsidRPr="00E1207D" w:rsidTr="00D12F76">
        <w:trPr>
          <w:trHeight w:val="615"/>
        </w:trPr>
        <w:tc>
          <w:tcPr>
            <w:tcW w:w="3420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201</w:t>
            </w:r>
            <w:r w:rsidR="00D12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201</w:t>
            </w:r>
            <w:r w:rsidR="00D12F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54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Absoluta</w:t>
            </w:r>
          </w:p>
        </w:tc>
        <w:tc>
          <w:tcPr>
            <w:tcW w:w="12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Relativa (%)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Primas Netas Cobradas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35,628,261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632</w:t>
            </w:r>
          </w:p>
        </w:tc>
        <w:tc>
          <w:tcPr>
            <w:tcW w:w="16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40,759,732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784</w:t>
            </w:r>
          </w:p>
        </w:tc>
        <w:tc>
          <w:tcPr>
            <w:tcW w:w="15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5,131,471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152</w:t>
            </w:r>
          </w:p>
        </w:tc>
        <w:tc>
          <w:tcPr>
            <w:tcW w:w="1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14.40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Balance General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Activos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46,906,201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277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52,191,494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383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5,285,284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,1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06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11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27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Inversiones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22,666,582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894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24,998,127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992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D12F7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2,331,</w:t>
            </w:r>
            <w:r w:rsidR="00D12F7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545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 w:rsidR="00D12F7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097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4137B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10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29</w:t>
            </w:r>
          </w:p>
        </w:tc>
      </w:tr>
      <w:tr w:rsidR="00E1207D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Pasivos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33,367,383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680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37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,367,383,680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3,889,133</w:t>
            </w:r>
            <w:r w:rsidR="00E1207D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473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11.</w:t>
            </w:r>
            <w:r w:rsidR="004137B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66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Reservas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16,983,697,223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19,953,712,560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2,970,015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337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17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49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Patrimonio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13,538,826,609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14,934,977,240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1,396,150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632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10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31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46189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Estados de Resultados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46189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Ingresos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75,869,083,001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85,869,171,557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10,000,088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556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13.18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Gastos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73,199,794,346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83,164,254,080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9,964,459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734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13.61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Beneficios (Pérdidas) del Período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2,669,288,655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2,704,917,476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35,628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821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1.33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46189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Resultados Técnicos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46189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Prima Suscrita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35,891,128,559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41,084,288,244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5,193,159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,6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85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14.47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Prima Retenida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20,062,004,444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24,511,038,245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4,449,033,801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22.18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Prima Retenida Devengada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19,504,366,442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23,487,838,439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3,983,471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997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20.42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Siniestros Retenidos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9,632,527,672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11,592,433,959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826D49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1,959,906</w:t>
            </w:r>
            <w:r w:rsidR="00D12F76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287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20.35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Siniestros Incurridos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10,631,982,492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13,349,964,029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826D49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2,717,981</w:t>
            </w:r>
            <w:r w:rsidR="00D12F76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,53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25.56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Resultados Técnicos Brutos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7,383,871,834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8,346,523,806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96</w:t>
            </w:r>
            <w:r w:rsidR="00826D49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2,651</w:t>
            </w: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 w:rsidR="00826D49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972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13.04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46189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Reaseguros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12F76" w:rsidRPr="00E1207D" w:rsidRDefault="00D12F76" w:rsidP="00461893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2F76" w:rsidRPr="00E1207D" w:rsidRDefault="00D12F76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Primas Reaseguros Cedidos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15,931,169,466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16,015,883,534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826D49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84,714</w:t>
            </w:r>
            <w:r w:rsidR="00D12F76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068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0.53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Cargos a los Reaseguradores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15,913,224,915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17,053,338,646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826D49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1,140,113</w:t>
            </w:r>
            <w:r w:rsidR="00D12F76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730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7.14</w:t>
            </w:r>
          </w:p>
        </w:tc>
      </w:tr>
      <w:tr w:rsidR="00D12F76" w:rsidRPr="00E1207D" w:rsidTr="00D12F76">
        <w:trPr>
          <w:trHeight w:val="315"/>
        </w:trPr>
        <w:tc>
          <w:tcPr>
            <w:tcW w:w="34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Créditos a los Reaseguradores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4618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1,626,673,450</w:t>
            </w:r>
          </w:p>
        </w:tc>
        <w:tc>
          <w:tcPr>
            <w:tcW w:w="167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759,591,646</w:t>
            </w:r>
          </w:p>
        </w:tc>
        <w:tc>
          <w:tcPr>
            <w:tcW w:w="1547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826D49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-867,081</w:t>
            </w:r>
            <w:r w:rsidR="00D12F76"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805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2F76" w:rsidRPr="00E1207D" w:rsidRDefault="00D12F76" w:rsidP="00E1207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53.30</w:t>
            </w:r>
          </w:p>
        </w:tc>
      </w:tr>
    </w:tbl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20"/>
        <w:gridCol w:w="1440"/>
        <w:gridCol w:w="1440"/>
        <w:gridCol w:w="1240"/>
        <w:gridCol w:w="980"/>
        <w:gridCol w:w="1200"/>
      </w:tblGrid>
      <w:tr w:rsidR="00E1207D" w:rsidRPr="00E1207D" w:rsidTr="00E1207D">
        <w:trPr>
          <w:trHeight w:val="315"/>
        </w:trPr>
        <w:tc>
          <w:tcPr>
            <w:tcW w:w="9020" w:type="dxa"/>
            <w:gridSpan w:val="5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CA26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  <w:r w:rsidR="00CA26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uadro</w:t>
            </w:r>
            <w:r w:rsidRPr="00E120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No.</w:t>
            </w:r>
            <w:r w:rsidR="005E774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E1207D" w:rsidRPr="00E1207D" w:rsidTr="00E1207D">
        <w:trPr>
          <w:trHeight w:val="315"/>
        </w:trPr>
        <w:tc>
          <w:tcPr>
            <w:tcW w:w="90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Cuadro Resumen Estadísticas de Reaseguros Cedidos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E1207D">
        <w:trPr>
          <w:trHeight w:val="315"/>
        </w:trPr>
        <w:tc>
          <w:tcPr>
            <w:tcW w:w="90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461893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Años 2015</w:t>
            </w:r>
            <w:r w:rsidR="00E1207D"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- 201</w:t>
            </w:r>
            <w:r>
              <w:rPr>
                <w:rFonts w:ascii="Arial" w:hAnsi="Arial" w:cs="Arial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E1207D">
        <w:trPr>
          <w:trHeight w:val="315"/>
        </w:trPr>
        <w:tc>
          <w:tcPr>
            <w:tcW w:w="90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(Valores en RD$)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E1207D">
        <w:trPr>
          <w:trHeight w:val="315"/>
        </w:trPr>
        <w:tc>
          <w:tcPr>
            <w:tcW w:w="9020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E1207D">
        <w:trPr>
          <w:trHeight w:val="315"/>
        </w:trPr>
        <w:tc>
          <w:tcPr>
            <w:tcW w:w="3920" w:type="dxa"/>
            <w:vMerge w:val="restar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Concepto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Años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Variación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E1207D" w:rsidRPr="00E1207D" w:rsidTr="00E1207D">
        <w:trPr>
          <w:trHeight w:val="525"/>
        </w:trPr>
        <w:tc>
          <w:tcPr>
            <w:tcW w:w="3920" w:type="dxa"/>
            <w:vMerge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07D" w:rsidRPr="00E1207D" w:rsidRDefault="00E1207D" w:rsidP="00E1207D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201</w:t>
            </w:r>
            <w:r w:rsidR="00461893">
              <w:rPr>
                <w:rFonts w:ascii="Arial" w:hAnsi="Arial" w:cs="Arial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201</w:t>
            </w:r>
            <w:r w:rsidR="00461893">
              <w:rPr>
                <w:rFonts w:ascii="Arial" w:hAnsi="Arial" w:cs="Arial"/>
                <w:b/>
                <w:bCs/>
                <w:color w:val="000000"/>
                <w:lang w:val="es-ES"/>
              </w:rPr>
              <w:t>6</w:t>
            </w:r>
          </w:p>
        </w:tc>
        <w:tc>
          <w:tcPr>
            <w:tcW w:w="12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Absoluta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E1207D" w:rsidRPr="00E1207D" w:rsidRDefault="00E1207D" w:rsidP="00E1207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lang w:val="es-ES"/>
              </w:rPr>
              <w:t>Relativa (%)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E1207D" w:rsidRPr="00E1207D" w:rsidRDefault="00E1207D" w:rsidP="00E1207D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Primas Reaseguros Cedidos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9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Proporcional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6,423,134,929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7,017,116,129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593,981,200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9.25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 Proporcional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2,581,106,625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2,383,814,498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-197,292,127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-7.64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Facultativos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6,926,927,912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6,614,952,906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-311,975,006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-4.50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Primas Reaseguros Cedidos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15,931,169,466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16,015,883,534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84,714,068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0.53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Reaseguros Cedidos al Exterior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Proporcional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5,507,784,225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5,982,680,895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474,896,670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8.62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 Proporcional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2,381,143,499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2,191,248,495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-189,859,004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-7.97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Facultativos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6,177,857,768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6,001,555,527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-176,302,240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-2.85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Primas Reaseguros Cedidos al Exterior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14,066,785,492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14,175,520,917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108,735,425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0.77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Reaseguros Cedidos Localmente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Proporcional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915,350,704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1,034,435,234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119,084,530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13.01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No Proporcional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199,963,126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192,530,003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-7,433,123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-3.72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Facultativos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749,070,145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613,397,370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-135,672,775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-18.11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Primas Reaseguros Cedidos Localmente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1,864,383,975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1,840,362,606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-24,021,368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-1.29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Cargos a los Reaseguradores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Comisiones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2,049,451,838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2,364,605,725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315,153,887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15.38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Participación de Siniestros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2,491,675,414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2,997,299,811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505,624,397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20.29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Remesas Efectuadas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10,972,766,635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11,273,928,814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301,162,179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2.74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Otros Cargos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399,331,029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417,504,296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18,173,267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4.55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Cargos a los Reaseguradores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15,913,224,915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17,053,338,646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1,140,113,730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7.16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Créditos a los Reaseguradores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461893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Salvamentos y Recuperaciones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-152,542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10,893,983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11,046,526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-7,241.61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Pagos Recibidos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1,513,483,922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473,272,697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-1,040,221,224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-68.73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Otros Créditos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113,342,071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275,424,965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162,082,894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143.00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461893" w:rsidRPr="00E1207D" w:rsidTr="00E1207D">
        <w:trPr>
          <w:trHeight w:val="315"/>
        </w:trPr>
        <w:tc>
          <w:tcPr>
            <w:tcW w:w="392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Total Créditos a los Reaseguradores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46189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1,626,673,450</w:t>
            </w:r>
          </w:p>
        </w:tc>
        <w:tc>
          <w:tcPr>
            <w:tcW w:w="14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461893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759,591,646</w:t>
            </w:r>
          </w:p>
        </w:tc>
        <w:tc>
          <w:tcPr>
            <w:tcW w:w="12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-867,081,805</w:t>
            </w:r>
          </w:p>
        </w:tc>
        <w:tc>
          <w:tcPr>
            <w:tcW w:w="9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1893" w:rsidRPr="00E1207D" w:rsidRDefault="005E71F5" w:rsidP="00E1207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  <w:t>-53.30</w:t>
            </w:r>
          </w:p>
        </w:tc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61893" w:rsidRPr="00E1207D" w:rsidRDefault="00461893" w:rsidP="00E1207D">
            <w:pPr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 </w:t>
            </w:r>
          </w:p>
        </w:tc>
      </w:tr>
      <w:tr w:rsidR="00E1207D" w:rsidRPr="00E1207D" w:rsidTr="00E1207D">
        <w:trPr>
          <w:trHeight w:val="315"/>
        </w:trPr>
        <w:tc>
          <w:tcPr>
            <w:tcW w:w="10220" w:type="dxa"/>
            <w:gridSpan w:val="6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bottom"/>
            <w:hideMark/>
          </w:tcPr>
          <w:p w:rsidR="00E1207D" w:rsidRPr="00E1207D" w:rsidRDefault="00E1207D" w:rsidP="00E1207D">
            <w:pPr>
              <w:rPr>
                <w:color w:val="000000"/>
                <w:sz w:val="16"/>
                <w:szCs w:val="16"/>
                <w:lang w:val="es-ES"/>
              </w:rPr>
            </w:pPr>
            <w:r w:rsidRPr="00E1207D">
              <w:rPr>
                <w:color w:val="000000"/>
                <w:sz w:val="16"/>
                <w:szCs w:val="16"/>
                <w:lang w:val="es-ES"/>
              </w:rPr>
              <w:t>Los datos de las Primas de Reaseguros</w:t>
            </w:r>
            <w:r w:rsidR="005E71F5">
              <w:rPr>
                <w:color w:val="000000"/>
                <w:sz w:val="16"/>
                <w:szCs w:val="16"/>
                <w:lang w:val="es-ES"/>
              </w:rPr>
              <w:t xml:space="preserve"> Cedidos incluye Veintisiete (25</w:t>
            </w:r>
            <w:r w:rsidRPr="00E1207D">
              <w:rPr>
                <w:color w:val="000000"/>
                <w:sz w:val="16"/>
                <w:szCs w:val="16"/>
                <w:lang w:val="es-ES"/>
              </w:rPr>
              <w:t xml:space="preserve">) </w:t>
            </w:r>
            <w:r w:rsidR="005E71F5" w:rsidRPr="00E1207D">
              <w:rPr>
                <w:color w:val="000000"/>
                <w:sz w:val="16"/>
                <w:szCs w:val="16"/>
                <w:lang w:val="es-ES"/>
              </w:rPr>
              <w:t>compañías</w:t>
            </w:r>
            <w:r w:rsidRPr="00E1207D">
              <w:rPr>
                <w:color w:val="000000"/>
                <w:sz w:val="16"/>
                <w:szCs w:val="16"/>
                <w:lang w:val="es-ES"/>
              </w:rPr>
              <w:t xml:space="preserve"> aseguradoras</w:t>
            </w:r>
          </w:p>
        </w:tc>
      </w:tr>
    </w:tbl>
    <w:p w:rsidR="00193E07" w:rsidRPr="00E1207D" w:rsidRDefault="00193E07" w:rsidP="001012F5">
      <w:pPr>
        <w:rPr>
          <w:sz w:val="44"/>
          <w:szCs w:val="44"/>
          <w:lang w:val="es-ES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193E07" w:rsidRDefault="00193E07" w:rsidP="001012F5">
      <w:pPr>
        <w:rPr>
          <w:sz w:val="44"/>
          <w:szCs w:val="44"/>
        </w:rPr>
      </w:pPr>
    </w:p>
    <w:p w:rsidR="009B3C94" w:rsidRDefault="009B3C94" w:rsidP="001012F5">
      <w:pPr>
        <w:rPr>
          <w:sz w:val="44"/>
          <w:szCs w:val="44"/>
        </w:rPr>
      </w:pPr>
    </w:p>
    <w:p w:rsidR="009B3C94" w:rsidRDefault="009B3C94" w:rsidP="001012F5">
      <w:pPr>
        <w:rPr>
          <w:sz w:val="44"/>
          <w:szCs w:val="44"/>
        </w:rPr>
      </w:pPr>
    </w:p>
    <w:p w:rsidR="00193E07" w:rsidRDefault="00193E07" w:rsidP="00442DCD">
      <w:pPr>
        <w:spacing w:line="360" w:lineRule="auto"/>
        <w:jc w:val="both"/>
        <w:rPr>
          <w:b/>
          <w:lang w:val="es-ES"/>
        </w:rPr>
      </w:pPr>
    </w:p>
    <w:p w:rsidR="00E2061F" w:rsidRDefault="00E2061F" w:rsidP="004968F4">
      <w:pPr>
        <w:pStyle w:val="Ttulo"/>
        <w:rPr>
          <w:rFonts w:ascii="Bookman Old Style" w:hAnsi="Bookman Old Style"/>
          <w:color w:val="0000FF"/>
          <w:szCs w:val="32"/>
        </w:rPr>
      </w:pPr>
    </w:p>
    <w:p w:rsidR="00E2061F" w:rsidRDefault="00E2061F" w:rsidP="004968F4">
      <w:pPr>
        <w:pStyle w:val="Ttulo"/>
        <w:rPr>
          <w:rFonts w:ascii="Bookman Old Style" w:hAnsi="Bookman Old Style"/>
          <w:color w:val="0000FF"/>
          <w:szCs w:val="32"/>
        </w:rPr>
      </w:pPr>
    </w:p>
    <w:p w:rsidR="004968F4" w:rsidRPr="00232B9B" w:rsidRDefault="00232B9B" w:rsidP="005C4FD0">
      <w:pPr>
        <w:pStyle w:val="Ttulo"/>
        <w:outlineLvl w:val="0"/>
        <w:rPr>
          <w:rFonts w:ascii="Bookman Old Style" w:hAnsi="Bookman Old Style"/>
          <w:b/>
          <w:bCs/>
          <w:color w:val="003366"/>
          <w:szCs w:val="32"/>
        </w:rPr>
      </w:pPr>
      <w:r>
        <w:rPr>
          <w:rFonts w:ascii="Bookman Old Style" w:hAnsi="Bookman Old Style"/>
          <w:color w:val="003366"/>
          <w:szCs w:val="32"/>
        </w:rPr>
        <w:t>REPÚ</w:t>
      </w:r>
      <w:r w:rsidR="004968F4" w:rsidRPr="00232B9B">
        <w:rPr>
          <w:rFonts w:ascii="Bookman Old Style" w:hAnsi="Bookman Old Style"/>
          <w:color w:val="003366"/>
          <w:szCs w:val="32"/>
        </w:rPr>
        <w:t>BLICA DOMINICANA</w:t>
      </w:r>
    </w:p>
    <w:p w:rsidR="004968F4" w:rsidRPr="00232B9B" w:rsidRDefault="004968F4" w:rsidP="004968F4">
      <w:pPr>
        <w:pStyle w:val="Ttulo"/>
        <w:rPr>
          <w:rFonts w:ascii="Bookman Old Style" w:hAnsi="Bookman Old Style"/>
          <w:bCs/>
          <w:color w:val="003366"/>
          <w:sz w:val="24"/>
          <w:szCs w:val="24"/>
        </w:rPr>
      </w:pPr>
      <w:r w:rsidRPr="00232B9B">
        <w:rPr>
          <w:bCs/>
          <w:color w:val="003366"/>
          <w:sz w:val="24"/>
          <w:szCs w:val="24"/>
        </w:rPr>
        <w:t>MINISTERIO DE HACIENDA</w:t>
      </w:r>
    </w:p>
    <w:p w:rsidR="004968F4" w:rsidRPr="00232B9B" w:rsidRDefault="004968F4" w:rsidP="004968F4">
      <w:pPr>
        <w:pStyle w:val="Subttulo"/>
        <w:rPr>
          <w:b/>
          <w:color w:val="003366"/>
          <w:sz w:val="28"/>
          <w:szCs w:val="28"/>
        </w:rPr>
      </w:pPr>
      <w:r w:rsidRPr="00232B9B">
        <w:rPr>
          <w:b/>
          <w:color w:val="003366"/>
          <w:sz w:val="28"/>
          <w:szCs w:val="28"/>
        </w:rPr>
        <w:t>SUPERINTENDENCIA DE SEGUROS</w:t>
      </w:r>
    </w:p>
    <w:p w:rsidR="004968F4" w:rsidRDefault="004968F4" w:rsidP="004968F4">
      <w:pPr>
        <w:rPr>
          <w:sz w:val="44"/>
          <w:szCs w:val="44"/>
        </w:rPr>
      </w:pPr>
    </w:p>
    <w:p w:rsidR="004968F4" w:rsidRDefault="004968F4" w:rsidP="004968F4">
      <w:pPr>
        <w:rPr>
          <w:sz w:val="44"/>
          <w:szCs w:val="44"/>
        </w:rPr>
      </w:pPr>
    </w:p>
    <w:p w:rsidR="004968F4" w:rsidRPr="00996060" w:rsidRDefault="004968F4" w:rsidP="004968F4">
      <w:pPr>
        <w:tabs>
          <w:tab w:val="left" w:pos="2919"/>
        </w:tabs>
        <w:rPr>
          <w:i/>
          <w:sz w:val="44"/>
          <w:szCs w:val="44"/>
        </w:rPr>
      </w:pPr>
    </w:p>
    <w:p w:rsidR="00916C9E" w:rsidRDefault="00916C9E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916C9E" w:rsidRDefault="00916C9E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rFonts w:ascii="Arial" w:hAnsi="Arial"/>
          <w:b/>
          <w:i/>
          <w:sz w:val="32"/>
          <w:szCs w:val="32"/>
        </w:rPr>
      </w:pPr>
      <w:r w:rsidRPr="00996060">
        <w:rPr>
          <w:rFonts w:ascii="Arial" w:hAnsi="Arial"/>
          <w:b/>
          <w:i/>
          <w:sz w:val="32"/>
          <w:szCs w:val="32"/>
        </w:rPr>
        <w:t>Departamento de Planificación y Organización</w:t>
      </w: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4968F4">
      <w:pPr>
        <w:tabs>
          <w:tab w:val="left" w:pos="2919"/>
        </w:tabs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b/>
          <w:i/>
          <w:sz w:val="32"/>
          <w:szCs w:val="32"/>
        </w:rPr>
      </w:pPr>
    </w:p>
    <w:p w:rsidR="004968F4" w:rsidRPr="00996060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i/>
          <w:sz w:val="28"/>
          <w:szCs w:val="28"/>
        </w:rPr>
      </w:pPr>
      <w:r w:rsidRPr="00996060">
        <w:rPr>
          <w:rFonts w:ascii="Arial" w:hAnsi="Arial"/>
          <w:b/>
          <w:i/>
          <w:sz w:val="28"/>
          <w:szCs w:val="28"/>
        </w:rPr>
        <w:t>Este informe fue elaborado y compilado por</w:t>
      </w:r>
      <w:r w:rsidRPr="00996060">
        <w:rPr>
          <w:i/>
          <w:sz w:val="28"/>
          <w:szCs w:val="28"/>
        </w:rPr>
        <w:t>:</w:t>
      </w: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sz w:val="28"/>
          <w:szCs w:val="28"/>
        </w:rPr>
      </w:pPr>
    </w:p>
    <w:p w:rsidR="004968F4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sz w:val="28"/>
          <w:szCs w:val="28"/>
        </w:rPr>
      </w:pPr>
    </w:p>
    <w:p w:rsidR="004968F4" w:rsidRDefault="004968F4" w:rsidP="004968F4">
      <w:pPr>
        <w:tabs>
          <w:tab w:val="left" w:pos="2919"/>
        </w:tabs>
        <w:rPr>
          <w:rFonts w:ascii="Arial" w:hAnsi="Arial"/>
          <w:sz w:val="28"/>
          <w:szCs w:val="28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5C4FD0">
      <w:pPr>
        <w:tabs>
          <w:tab w:val="left" w:pos="2919"/>
        </w:tabs>
        <w:ind w:left="-180" w:firstLine="180"/>
        <w:jc w:val="center"/>
        <w:outlineLvl w:val="0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El Depto. de Planificación y Organización</w:t>
      </w:r>
    </w:p>
    <w:p w:rsidR="004968F4" w:rsidRPr="00C927E1" w:rsidRDefault="004968F4" w:rsidP="004968F4">
      <w:pPr>
        <w:tabs>
          <w:tab w:val="left" w:pos="2919"/>
        </w:tabs>
        <w:ind w:left="-180" w:firstLine="180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  <w:i/>
          <w:sz w:val="24"/>
          <w:szCs w:val="24"/>
        </w:rPr>
      </w:pPr>
    </w:p>
    <w:p w:rsidR="004968F4" w:rsidRPr="00C927E1" w:rsidRDefault="004968F4" w:rsidP="004968F4">
      <w:pPr>
        <w:tabs>
          <w:tab w:val="left" w:pos="2919"/>
        </w:tabs>
        <w:rPr>
          <w:rFonts w:ascii="Arial" w:hAnsi="Arial"/>
          <w:i/>
          <w:sz w:val="24"/>
          <w:szCs w:val="24"/>
        </w:rPr>
      </w:pPr>
    </w:p>
    <w:p w:rsidR="004968F4" w:rsidRPr="006F4675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</w:rPr>
      </w:pPr>
    </w:p>
    <w:p w:rsidR="004968F4" w:rsidRPr="006F4675" w:rsidRDefault="004968F4" w:rsidP="004968F4">
      <w:pPr>
        <w:tabs>
          <w:tab w:val="left" w:pos="2919"/>
        </w:tabs>
        <w:ind w:left="-180" w:firstLine="180"/>
        <w:jc w:val="center"/>
        <w:rPr>
          <w:rFonts w:ascii="Arial" w:hAnsi="Arial"/>
        </w:rPr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</w:pPr>
    </w:p>
    <w:p w:rsidR="004968F4" w:rsidRDefault="004968F4" w:rsidP="004968F4">
      <w:pPr>
        <w:tabs>
          <w:tab w:val="left" w:pos="3037"/>
        </w:tabs>
        <w:jc w:val="center"/>
        <w:rPr>
          <w:b/>
        </w:rPr>
      </w:pPr>
    </w:p>
    <w:p w:rsidR="004968F4" w:rsidRDefault="004968F4" w:rsidP="004968F4">
      <w:pPr>
        <w:tabs>
          <w:tab w:val="left" w:pos="3037"/>
        </w:tabs>
        <w:jc w:val="center"/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916C9E" w:rsidRDefault="00916C9E" w:rsidP="004968F4">
      <w:pPr>
        <w:tabs>
          <w:tab w:val="left" w:pos="3037"/>
        </w:tabs>
        <w:jc w:val="center"/>
        <w:rPr>
          <w:b/>
        </w:rPr>
      </w:pPr>
    </w:p>
    <w:p w:rsidR="004968F4" w:rsidRPr="00210784" w:rsidRDefault="004968F4" w:rsidP="005C4FD0">
      <w:pPr>
        <w:tabs>
          <w:tab w:val="left" w:pos="3037"/>
        </w:tabs>
        <w:jc w:val="center"/>
        <w:outlineLvl w:val="0"/>
        <w:rPr>
          <w:b/>
        </w:rPr>
      </w:pPr>
      <w:r w:rsidRPr="00210784">
        <w:rPr>
          <w:b/>
        </w:rPr>
        <w:t>Santo Domingo, D.N.</w:t>
      </w:r>
    </w:p>
    <w:p w:rsidR="004968F4" w:rsidRPr="00210784" w:rsidRDefault="00D43B9C" w:rsidP="004968F4">
      <w:pPr>
        <w:tabs>
          <w:tab w:val="left" w:pos="3037"/>
        </w:tabs>
        <w:jc w:val="center"/>
        <w:rPr>
          <w:b/>
        </w:rPr>
      </w:pPr>
      <w:r>
        <w:rPr>
          <w:b/>
        </w:rPr>
        <w:t>2017</w:t>
      </w: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4968F4" w:rsidRDefault="004968F4" w:rsidP="004968F4">
      <w:pPr>
        <w:tabs>
          <w:tab w:val="left" w:pos="3037"/>
        </w:tabs>
        <w:jc w:val="center"/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17BDF" w:rsidRDefault="00617BDF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17BDF" w:rsidRDefault="00617BDF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072B48" w:rsidRDefault="00072B48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83DF7" w:rsidRDefault="00D83DF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9A5CAB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24765</wp:posOffset>
            </wp:positionV>
            <wp:extent cx="3566160" cy="3658870"/>
            <wp:effectExtent l="19050" t="0" r="0" b="0"/>
            <wp:wrapNone/>
            <wp:docPr id="11" name="Imagen 11" descr="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6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C9E" w:rsidRDefault="00916C9E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916C9E" w:rsidRDefault="00916C9E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916C9E" w:rsidRDefault="00916C9E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6C3C67" w:rsidRDefault="006C3C6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Default="00D315C7" w:rsidP="00D315C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p w:rsidR="00D315C7" w:rsidRPr="00D315C7" w:rsidRDefault="00D315C7" w:rsidP="002615B7">
      <w:pPr>
        <w:tabs>
          <w:tab w:val="left" w:pos="2160"/>
        </w:tabs>
        <w:rPr>
          <w:sz w:val="24"/>
          <w:szCs w:val="24"/>
          <w:lang w:val="es-ES" w:eastAsia="es-ES_tradnl"/>
        </w:rPr>
      </w:pPr>
    </w:p>
    <w:sectPr w:rsidR="00D315C7" w:rsidRPr="00D315C7" w:rsidSect="00072B48">
      <w:footerReference w:type="even" r:id="rId9"/>
      <w:footerReference w:type="default" r:id="rId10"/>
      <w:pgSz w:w="12240" w:h="18720" w:code="5"/>
      <w:pgMar w:top="993" w:right="900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8D3" w:rsidRDefault="009968D3">
      <w:r>
        <w:separator/>
      </w:r>
    </w:p>
  </w:endnote>
  <w:endnote w:type="continuationSeparator" w:id="1">
    <w:p w:rsidR="009968D3" w:rsidRDefault="0099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2" w:rsidRDefault="00DC1392" w:rsidP="00D86C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1392" w:rsidRDefault="00DC13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392" w:rsidRPr="008A09F1" w:rsidRDefault="00DC1392" w:rsidP="008A09F1">
    <w:pPr>
      <w:pStyle w:val="Piedepgina"/>
      <w:framePr w:wrap="around" w:vAnchor="text" w:hAnchor="page" w:x="6305" w:y="27"/>
      <w:jc w:val="center"/>
      <w:rPr>
        <w:rStyle w:val="Nmerodepgina"/>
        <w:b/>
      </w:rPr>
    </w:pPr>
    <w:r w:rsidRPr="008A09F1">
      <w:rPr>
        <w:rStyle w:val="Nmerodepgina"/>
        <w:b/>
      </w:rPr>
      <w:fldChar w:fldCharType="begin"/>
    </w:r>
    <w:r w:rsidRPr="008A09F1">
      <w:rPr>
        <w:rStyle w:val="Nmerodepgina"/>
        <w:b/>
      </w:rPr>
      <w:instrText xml:space="preserve">PAGE  </w:instrText>
    </w:r>
    <w:r w:rsidRPr="008A09F1">
      <w:rPr>
        <w:rStyle w:val="Nmerodepgina"/>
        <w:b/>
      </w:rPr>
      <w:fldChar w:fldCharType="separate"/>
    </w:r>
    <w:r w:rsidR="002A0F91">
      <w:rPr>
        <w:rStyle w:val="Nmerodepgina"/>
        <w:b/>
        <w:noProof/>
      </w:rPr>
      <w:t>7</w:t>
    </w:r>
    <w:r w:rsidRPr="008A09F1">
      <w:rPr>
        <w:rStyle w:val="Nmerodepgina"/>
        <w:b/>
      </w:rPr>
      <w:fldChar w:fldCharType="end"/>
    </w:r>
  </w:p>
  <w:p w:rsidR="00DC1392" w:rsidRDefault="00DC1392" w:rsidP="00AB7FC3">
    <w:pPr>
      <w:pStyle w:val="Piedepgina"/>
      <w:tabs>
        <w:tab w:val="clear" w:pos="4320"/>
        <w:tab w:val="clear" w:pos="8640"/>
        <w:tab w:val="left" w:pos="56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8D3" w:rsidRDefault="009968D3">
      <w:r>
        <w:separator/>
      </w:r>
    </w:p>
  </w:footnote>
  <w:footnote w:type="continuationSeparator" w:id="1">
    <w:p w:rsidR="009968D3" w:rsidRDefault="00996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14"/>
    <w:multiLevelType w:val="hybridMultilevel"/>
    <w:tmpl w:val="E69EBA5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1C7C23"/>
    <w:multiLevelType w:val="hybridMultilevel"/>
    <w:tmpl w:val="3E6650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22030"/>
    <w:multiLevelType w:val="hybridMultilevel"/>
    <w:tmpl w:val="1504B9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57E2"/>
    <w:multiLevelType w:val="multilevel"/>
    <w:tmpl w:val="679C2F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960F2"/>
    <w:multiLevelType w:val="hybridMultilevel"/>
    <w:tmpl w:val="E1923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47664"/>
    <w:multiLevelType w:val="multilevel"/>
    <w:tmpl w:val="786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C53E9"/>
    <w:multiLevelType w:val="hybridMultilevel"/>
    <w:tmpl w:val="95627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91799"/>
    <w:multiLevelType w:val="hybridMultilevel"/>
    <w:tmpl w:val="0564183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84D71E2"/>
    <w:multiLevelType w:val="hybridMultilevel"/>
    <w:tmpl w:val="5148B01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B69420E"/>
    <w:multiLevelType w:val="hybridMultilevel"/>
    <w:tmpl w:val="B0182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4633E"/>
    <w:multiLevelType w:val="hybridMultilevel"/>
    <w:tmpl w:val="23AE2968"/>
    <w:lvl w:ilvl="0" w:tplc="E834A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F19E5"/>
    <w:multiLevelType w:val="hybridMultilevel"/>
    <w:tmpl w:val="ACDAA24C"/>
    <w:lvl w:ilvl="0" w:tplc="DB527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F51365"/>
    <w:multiLevelType w:val="hybridMultilevel"/>
    <w:tmpl w:val="66EE2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B474B"/>
    <w:multiLevelType w:val="hybridMultilevel"/>
    <w:tmpl w:val="D83ABC8A"/>
    <w:lvl w:ilvl="0" w:tplc="9DF43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7A7EC4"/>
    <w:multiLevelType w:val="hybridMultilevel"/>
    <w:tmpl w:val="F876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75102"/>
    <w:multiLevelType w:val="hybridMultilevel"/>
    <w:tmpl w:val="F48C4B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C3055F9"/>
    <w:multiLevelType w:val="hybridMultilevel"/>
    <w:tmpl w:val="F1F4C0CC"/>
    <w:lvl w:ilvl="0" w:tplc="AF8E87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0900DB"/>
    <w:multiLevelType w:val="hybridMultilevel"/>
    <w:tmpl w:val="B8B220D8"/>
    <w:lvl w:ilvl="0" w:tplc="9ACC3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6E1B65"/>
    <w:multiLevelType w:val="hybridMultilevel"/>
    <w:tmpl w:val="3A5675B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30A5734"/>
    <w:multiLevelType w:val="hybridMultilevel"/>
    <w:tmpl w:val="4A4E1E8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E85DCA"/>
    <w:multiLevelType w:val="hybridMultilevel"/>
    <w:tmpl w:val="B95CB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A0DA4"/>
    <w:multiLevelType w:val="hybridMultilevel"/>
    <w:tmpl w:val="F5349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94713D0"/>
    <w:multiLevelType w:val="hybridMultilevel"/>
    <w:tmpl w:val="8F96ED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A498B"/>
    <w:multiLevelType w:val="hybridMultilevel"/>
    <w:tmpl w:val="379A858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3F7A73FD"/>
    <w:multiLevelType w:val="hybridMultilevel"/>
    <w:tmpl w:val="0CD8383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3F12547"/>
    <w:multiLevelType w:val="hybridMultilevel"/>
    <w:tmpl w:val="E7E86F1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67477F"/>
    <w:multiLevelType w:val="multilevel"/>
    <w:tmpl w:val="144AD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90C8A"/>
    <w:multiLevelType w:val="hybridMultilevel"/>
    <w:tmpl w:val="7398F62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0622FC"/>
    <w:multiLevelType w:val="hybridMultilevel"/>
    <w:tmpl w:val="86725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53BF5"/>
    <w:multiLevelType w:val="hybridMultilevel"/>
    <w:tmpl w:val="22068C96"/>
    <w:lvl w:ilvl="0" w:tplc="77C406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862461"/>
    <w:multiLevelType w:val="hybridMultilevel"/>
    <w:tmpl w:val="89AAC3E2"/>
    <w:lvl w:ilvl="0" w:tplc="2C88AC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E387281"/>
    <w:multiLevelType w:val="hybridMultilevel"/>
    <w:tmpl w:val="3FD6598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0C31878"/>
    <w:multiLevelType w:val="hybridMultilevel"/>
    <w:tmpl w:val="B9CC760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1D65352"/>
    <w:multiLevelType w:val="hybridMultilevel"/>
    <w:tmpl w:val="696CE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4006F"/>
    <w:multiLevelType w:val="hybridMultilevel"/>
    <w:tmpl w:val="C3FC4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7E6696F"/>
    <w:multiLevelType w:val="hybridMultilevel"/>
    <w:tmpl w:val="28FCCF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7503B"/>
    <w:multiLevelType w:val="multilevel"/>
    <w:tmpl w:val="5C38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E22BC8"/>
    <w:multiLevelType w:val="hybridMultilevel"/>
    <w:tmpl w:val="ACAE2B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D4C7752"/>
    <w:multiLevelType w:val="hybridMultilevel"/>
    <w:tmpl w:val="C776A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F3419"/>
    <w:multiLevelType w:val="hybridMultilevel"/>
    <w:tmpl w:val="F9BA1A6E"/>
    <w:lvl w:ilvl="0" w:tplc="8FF2B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22D52"/>
    <w:multiLevelType w:val="hybridMultilevel"/>
    <w:tmpl w:val="C90AF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856C8"/>
    <w:multiLevelType w:val="hybridMultilevel"/>
    <w:tmpl w:val="C4C2DA86"/>
    <w:lvl w:ilvl="0" w:tplc="71E863B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CDE3E5C"/>
    <w:multiLevelType w:val="hybridMultilevel"/>
    <w:tmpl w:val="4440DF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D977ECE"/>
    <w:multiLevelType w:val="hybridMultilevel"/>
    <w:tmpl w:val="1130A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741A9B"/>
    <w:multiLevelType w:val="hybridMultilevel"/>
    <w:tmpl w:val="A426C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784F4907"/>
    <w:multiLevelType w:val="hybridMultilevel"/>
    <w:tmpl w:val="88327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743BC"/>
    <w:multiLevelType w:val="hybridMultilevel"/>
    <w:tmpl w:val="741612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FDE4047"/>
    <w:multiLevelType w:val="hybridMultilevel"/>
    <w:tmpl w:val="C86C919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0"/>
  </w:num>
  <w:num w:numId="5">
    <w:abstractNumId w:val="41"/>
  </w:num>
  <w:num w:numId="6">
    <w:abstractNumId w:val="16"/>
  </w:num>
  <w:num w:numId="7">
    <w:abstractNumId w:val="31"/>
  </w:num>
  <w:num w:numId="8">
    <w:abstractNumId w:val="33"/>
  </w:num>
  <w:num w:numId="9">
    <w:abstractNumId w:val="24"/>
  </w:num>
  <w:num w:numId="10">
    <w:abstractNumId w:val="11"/>
  </w:num>
  <w:num w:numId="11">
    <w:abstractNumId w:val="36"/>
  </w:num>
  <w:num w:numId="12">
    <w:abstractNumId w:val="3"/>
  </w:num>
  <w:num w:numId="13">
    <w:abstractNumId w:val="18"/>
  </w:num>
  <w:num w:numId="14">
    <w:abstractNumId w:val="46"/>
  </w:num>
  <w:num w:numId="15">
    <w:abstractNumId w:val="21"/>
  </w:num>
  <w:num w:numId="16">
    <w:abstractNumId w:val="34"/>
  </w:num>
  <w:num w:numId="17">
    <w:abstractNumId w:val="5"/>
  </w:num>
  <w:num w:numId="18">
    <w:abstractNumId w:val="26"/>
  </w:num>
  <w:num w:numId="19">
    <w:abstractNumId w:val="37"/>
  </w:num>
  <w:num w:numId="20">
    <w:abstractNumId w:val="27"/>
  </w:num>
  <w:num w:numId="21">
    <w:abstractNumId w:val="15"/>
  </w:num>
  <w:num w:numId="22">
    <w:abstractNumId w:val="23"/>
  </w:num>
  <w:num w:numId="23">
    <w:abstractNumId w:val="32"/>
  </w:num>
  <w:num w:numId="24">
    <w:abstractNumId w:val="7"/>
  </w:num>
  <w:num w:numId="25">
    <w:abstractNumId w:val="30"/>
  </w:num>
  <w:num w:numId="26">
    <w:abstractNumId w:val="44"/>
  </w:num>
  <w:num w:numId="27">
    <w:abstractNumId w:val="8"/>
  </w:num>
  <w:num w:numId="28">
    <w:abstractNumId w:val="42"/>
  </w:num>
  <w:num w:numId="29">
    <w:abstractNumId w:val="1"/>
  </w:num>
  <w:num w:numId="30">
    <w:abstractNumId w:val="28"/>
  </w:num>
  <w:num w:numId="31">
    <w:abstractNumId w:val="14"/>
  </w:num>
  <w:num w:numId="32">
    <w:abstractNumId w:val="38"/>
  </w:num>
  <w:num w:numId="33">
    <w:abstractNumId w:val="43"/>
  </w:num>
  <w:num w:numId="34">
    <w:abstractNumId w:val="40"/>
  </w:num>
  <w:num w:numId="35">
    <w:abstractNumId w:val="9"/>
  </w:num>
  <w:num w:numId="36">
    <w:abstractNumId w:val="6"/>
  </w:num>
  <w:num w:numId="37">
    <w:abstractNumId w:val="12"/>
  </w:num>
  <w:num w:numId="38">
    <w:abstractNumId w:val="47"/>
  </w:num>
  <w:num w:numId="39">
    <w:abstractNumId w:val="19"/>
  </w:num>
  <w:num w:numId="40">
    <w:abstractNumId w:val="2"/>
  </w:num>
  <w:num w:numId="41">
    <w:abstractNumId w:val="20"/>
  </w:num>
  <w:num w:numId="42">
    <w:abstractNumId w:val="35"/>
  </w:num>
  <w:num w:numId="43">
    <w:abstractNumId w:val="22"/>
  </w:num>
  <w:num w:numId="44">
    <w:abstractNumId w:val="25"/>
  </w:num>
  <w:num w:numId="45">
    <w:abstractNumId w:val="10"/>
  </w:num>
  <w:num w:numId="46">
    <w:abstractNumId w:val="39"/>
  </w:num>
  <w:num w:numId="47">
    <w:abstractNumId w:val="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8FC"/>
    <w:rsid w:val="000002FC"/>
    <w:rsid w:val="00000A22"/>
    <w:rsid w:val="000026EA"/>
    <w:rsid w:val="00003072"/>
    <w:rsid w:val="00003F33"/>
    <w:rsid w:val="00004C74"/>
    <w:rsid w:val="0000597C"/>
    <w:rsid w:val="0000712F"/>
    <w:rsid w:val="000072F0"/>
    <w:rsid w:val="00010E4A"/>
    <w:rsid w:val="00011064"/>
    <w:rsid w:val="00011975"/>
    <w:rsid w:val="00012479"/>
    <w:rsid w:val="00015798"/>
    <w:rsid w:val="000163E2"/>
    <w:rsid w:val="00017413"/>
    <w:rsid w:val="000177BB"/>
    <w:rsid w:val="00017CD3"/>
    <w:rsid w:val="00020ADF"/>
    <w:rsid w:val="00020BD4"/>
    <w:rsid w:val="00020D8C"/>
    <w:rsid w:val="00021989"/>
    <w:rsid w:val="00021CCE"/>
    <w:rsid w:val="000232AD"/>
    <w:rsid w:val="00024016"/>
    <w:rsid w:val="0002433B"/>
    <w:rsid w:val="0002512A"/>
    <w:rsid w:val="00026A9A"/>
    <w:rsid w:val="00026F6F"/>
    <w:rsid w:val="00030A74"/>
    <w:rsid w:val="00031255"/>
    <w:rsid w:val="0003139E"/>
    <w:rsid w:val="00031E0D"/>
    <w:rsid w:val="00034425"/>
    <w:rsid w:val="0003508A"/>
    <w:rsid w:val="00035A74"/>
    <w:rsid w:val="00035CD3"/>
    <w:rsid w:val="00037079"/>
    <w:rsid w:val="00040952"/>
    <w:rsid w:val="000409CE"/>
    <w:rsid w:val="00040DA4"/>
    <w:rsid w:val="000412F3"/>
    <w:rsid w:val="00044737"/>
    <w:rsid w:val="0004488B"/>
    <w:rsid w:val="000454BD"/>
    <w:rsid w:val="00046184"/>
    <w:rsid w:val="00046930"/>
    <w:rsid w:val="000501F6"/>
    <w:rsid w:val="00052C36"/>
    <w:rsid w:val="0005345D"/>
    <w:rsid w:val="00053CF4"/>
    <w:rsid w:val="00054216"/>
    <w:rsid w:val="00055194"/>
    <w:rsid w:val="00055A84"/>
    <w:rsid w:val="00055F8F"/>
    <w:rsid w:val="00056930"/>
    <w:rsid w:val="00056B9A"/>
    <w:rsid w:val="000578E7"/>
    <w:rsid w:val="00060AA4"/>
    <w:rsid w:val="00062CEA"/>
    <w:rsid w:val="0006635A"/>
    <w:rsid w:val="00067C77"/>
    <w:rsid w:val="000715F8"/>
    <w:rsid w:val="00071D73"/>
    <w:rsid w:val="00072B48"/>
    <w:rsid w:val="00072FB2"/>
    <w:rsid w:val="00073359"/>
    <w:rsid w:val="00074BFF"/>
    <w:rsid w:val="0007527A"/>
    <w:rsid w:val="00076E07"/>
    <w:rsid w:val="000816B1"/>
    <w:rsid w:val="00081B2A"/>
    <w:rsid w:val="0008330E"/>
    <w:rsid w:val="00084087"/>
    <w:rsid w:val="00084F4A"/>
    <w:rsid w:val="0008798A"/>
    <w:rsid w:val="00087FA1"/>
    <w:rsid w:val="00091105"/>
    <w:rsid w:val="00092355"/>
    <w:rsid w:val="000935D3"/>
    <w:rsid w:val="0009397C"/>
    <w:rsid w:val="00095B79"/>
    <w:rsid w:val="000965F6"/>
    <w:rsid w:val="00096CBB"/>
    <w:rsid w:val="000A0CB8"/>
    <w:rsid w:val="000A0D24"/>
    <w:rsid w:val="000A173F"/>
    <w:rsid w:val="000A37C1"/>
    <w:rsid w:val="000A414F"/>
    <w:rsid w:val="000A5EAC"/>
    <w:rsid w:val="000A6215"/>
    <w:rsid w:val="000A64E4"/>
    <w:rsid w:val="000A6FAD"/>
    <w:rsid w:val="000A7C08"/>
    <w:rsid w:val="000B0696"/>
    <w:rsid w:val="000B177A"/>
    <w:rsid w:val="000B4BF2"/>
    <w:rsid w:val="000B62FE"/>
    <w:rsid w:val="000B68CF"/>
    <w:rsid w:val="000B7D40"/>
    <w:rsid w:val="000C2DAA"/>
    <w:rsid w:val="000C3415"/>
    <w:rsid w:val="000C7156"/>
    <w:rsid w:val="000D0558"/>
    <w:rsid w:val="000D0DB7"/>
    <w:rsid w:val="000D0F54"/>
    <w:rsid w:val="000D29C0"/>
    <w:rsid w:val="000D42D3"/>
    <w:rsid w:val="000D656F"/>
    <w:rsid w:val="000D757E"/>
    <w:rsid w:val="000D7BA0"/>
    <w:rsid w:val="000E1010"/>
    <w:rsid w:val="000E2765"/>
    <w:rsid w:val="000E2C98"/>
    <w:rsid w:val="000E303E"/>
    <w:rsid w:val="000E3846"/>
    <w:rsid w:val="000E397C"/>
    <w:rsid w:val="000E3AB8"/>
    <w:rsid w:val="000E40B2"/>
    <w:rsid w:val="000E5A10"/>
    <w:rsid w:val="000E6207"/>
    <w:rsid w:val="000E77DC"/>
    <w:rsid w:val="000F1B29"/>
    <w:rsid w:val="000F2E1F"/>
    <w:rsid w:val="000F4860"/>
    <w:rsid w:val="000F4D5E"/>
    <w:rsid w:val="000F7075"/>
    <w:rsid w:val="00100D6A"/>
    <w:rsid w:val="001012F5"/>
    <w:rsid w:val="0010318C"/>
    <w:rsid w:val="00105F1C"/>
    <w:rsid w:val="00106379"/>
    <w:rsid w:val="0010722E"/>
    <w:rsid w:val="001075A1"/>
    <w:rsid w:val="0010781A"/>
    <w:rsid w:val="00110BFE"/>
    <w:rsid w:val="0011159B"/>
    <w:rsid w:val="00112A6F"/>
    <w:rsid w:val="001148D6"/>
    <w:rsid w:val="00117131"/>
    <w:rsid w:val="00121FE9"/>
    <w:rsid w:val="00123A9B"/>
    <w:rsid w:val="00131481"/>
    <w:rsid w:val="0013338E"/>
    <w:rsid w:val="00133A22"/>
    <w:rsid w:val="00133C58"/>
    <w:rsid w:val="00134676"/>
    <w:rsid w:val="0013647B"/>
    <w:rsid w:val="00136D30"/>
    <w:rsid w:val="00137D9F"/>
    <w:rsid w:val="00140CF0"/>
    <w:rsid w:val="00141979"/>
    <w:rsid w:val="00143813"/>
    <w:rsid w:val="00143ECF"/>
    <w:rsid w:val="0014543F"/>
    <w:rsid w:val="001469F0"/>
    <w:rsid w:val="00147427"/>
    <w:rsid w:val="00147B1C"/>
    <w:rsid w:val="001502FA"/>
    <w:rsid w:val="00151153"/>
    <w:rsid w:val="0015240A"/>
    <w:rsid w:val="0015301E"/>
    <w:rsid w:val="001532B5"/>
    <w:rsid w:val="00153483"/>
    <w:rsid w:val="00155B05"/>
    <w:rsid w:val="0015649D"/>
    <w:rsid w:val="001576B9"/>
    <w:rsid w:val="00160612"/>
    <w:rsid w:val="0016138D"/>
    <w:rsid w:val="00162678"/>
    <w:rsid w:val="00162BD9"/>
    <w:rsid w:val="0016394F"/>
    <w:rsid w:val="001650F1"/>
    <w:rsid w:val="00166821"/>
    <w:rsid w:val="0016696B"/>
    <w:rsid w:val="00172359"/>
    <w:rsid w:val="00172AAC"/>
    <w:rsid w:val="001737B1"/>
    <w:rsid w:val="001748C4"/>
    <w:rsid w:val="00174A0F"/>
    <w:rsid w:val="00175729"/>
    <w:rsid w:val="00177790"/>
    <w:rsid w:val="0018148B"/>
    <w:rsid w:val="001831D8"/>
    <w:rsid w:val="00184692"/>
    <w:rsid w:val="001852C2"/>
    <w:rsid w:val="0018689E"/>
    <w:rsid w:val="001916D0"/>
    <w:rsid w:val="001935E7"/>
    <w:rsid w:val="00193E07"/>
    <w:rsid w:val="001946A3"/>
    <w:rsid w:val="001949B4"/>
    <w:rsid w:val="00196006"/>
    <w:rsid w:val="001962E9"/>
    <w:rsid w:val="001A1D16"/>
    <w:rsid w:val="001A2679"/>
    <w:rsid w:val="001A329B"/>
    <w:rsid w:val="001A34BF"/>
    <w:rsid w:val="001A4DB0"/>
    <w:rsid w:val="001A6E23"/>
    <w:rsid w:val="001A6F11"/>
    <w:rsid w:val="001A73AF"/>
    <w:rsid w:val="001B0B8B"/>
    <w:rsid w:val="001B1148"/>
    <w:rsid w:val="001B17A5"/>
    <w:rsid w:val="001B2397"/>
    <w:rsid w:val="001B38BF"/>
    <w:rsid w:val="001B3D9C"/>
    <w:rsid w:val="001B5CB0"/>
    <w:rsid w:val="001C108B"/>
    <w:rsid w:val="001C26D6"/>
    <w:rsid w:val="001C2ADD"/>
    <w:rsid w:val="001C4597"/>
    <w:rsid w:val="001C510D"/>
    <w:rsid w:val="001D01E9"/>
    <w:rsid w:val="001D138F"/>
    <w:rsid w:val="001D748B"/>
    <w:rsid w:val="001E1CB3"/>
    <w:rsid w:val="001E212B"/>
    <w:rsid w:val="001E2BF3"/>
    <w:rsid w:val="001E4BC8"/>
    <w:rsid w:val="001E60C7"/>
    <w:rsid w:val="001E65F0"/>
    <w:rsid w:val="001F0A66"/>
    <w:rsid w:val="001F1CD8"/>
    <w:rsid w:val="001F3134"/>
    <w:rsid w:val="001F3284"/>
    <w:rsid w:val="001F396B"/>
    <w:rsid w:val="001F4363"/>
    <w:rsid w:val="001F49D6"/>
    <w:rsid w:val="001F78F4"/>
    <w:rsid w:val="0020104E"/>
    <w:rsid w:val="002018D8"/>
    <w:rsid w:val="0020236D"/>
    <w:rsid w:val="0020255D"/>
    <w:rsid w:val="00202855"/>
    <w:rsid w:val="0020474F"/>
    <w:rsid w:val="0020479D"/>
    <w:rsid w:val="00204948"/>
    <w:rsid w:val="00204A3D"/>
    <w:rsid w:val="00205D65"/>
    <w:rsid w:val="00206CAB"/>
    <w:rsid w:val="002079A0"/>
    <w:rsid w:val="002103D9"/>
    <w:rsid w:val="00212EF5"/>
    <w:rsid w:val="00213719"/>
    <w:rsid w:val="00213860"/>
    <w:rsid w:val="00213E23"/>
    <w:rsid w:val="00213E3F"/>
    <w:rsid w:val="0021463C"/>
    <w:rsid w:val="00215D7A"/>
    <w:rsid w:val="0021649E"/>
    <w:rsid w:val="00217C67"/>
    <w:rsid w:val="00220024"/>
    <w:rsid w:val="00220541"/>
    <w:rsid w:val="002212D1"/>
    <w:rsid w:val="002216EE"/>
    <w:rsid w:val="00221949"/>
    <w:rsid w:val="00223728"/>
    <w:rsid w:val="00224393"/>
    <w:rsid w:val="002249AC"/>
    <w:rsid w:val="00224A30"/>
    <w:rsid w:val="00225685"/>
    <w:rsid w:val="002268F2"/>
    <w:rsid w:val="00231016"/>
    <w:rsid w:val="00231129"/>
    <w:rsid w:val="0023141C"/>
    <w:rsid w:val="00232B9B"/>
    <w:rsid w:val="00233F15"/>
    <w:rsid w:val="00235282"/>
    <w:rsid w:val="002365EF"/>
    <w:rsid w:val="00236C48"/>
    <w:rsid w:val="00236F0E"/>
    <w:rsid w:val="002371C6"/>
    <w:rsid w:val="002404A8"/>
    <w:rsid w:val="00240697"/>
    <w:rsid w:val="0024069F"/>
    <w:rsid w:val="002409C7"/>
    <w:rsid w:val="0024175F"/>
    <w:rsid w:val="00241F69"/>
    <w:rsid w:val="00245BAB"/>
    <w:rsid w:val="00246235"/>
    <w:rsid w:val="0024676E"/>
    <w:rsid w:val="00246E10"/>
    <w:rsid w:val="00246E7E"/>
    <w:rsid w:val="002470C2"/>
    <w:rsid w:val="002476C6"/>
    <w:rsid w:val="002504C8"/>
    <w:rsid w:val="00250F10"/>
    <w:rsid w:val="00253A96"/>
    <w:rsid w:val="00253E1E"/>
    <w:rsid w:val="00254515"/>
    <w:rsid w:val="0025464E"/>
    <w:rsid w:val="00257411"/>
    <w:rsid w:val="0025783B"/>
    <w:rsid w:val="00260A6F"/>
    <w:rsid w:val="00260EAD"/>
    <w:rsid w:val="002615B7"/>
    <w:rsid w:val="00261618"/>
    <w:rsid w:val="00263FD6"/>
    <w:rsid w:val="00264CDE"/>
    <w:rsid w:val="0026527D"/>
    <w:rsid w:val="002654BA"/>
    <w:rsid w:val="00265AA2"/>
    <w:rsid w:val="00266360"/>
    <w:rsid w:val="00266DB2"/>
    <w:rsid w:val="002715DC"/>
    <w:rsid w:val="00271749"/>
    <w:rsid w:val="00271A28"/>
    <w:rsid w:val="002751E9"/>
    <w:rsid w:val="00283A74"/>
    <w:rsid w:val="00283C0D"/>
    <w:rsid w:val="00283D78"/>
    <w:rsid w:val="00284703"/>
    <w:rsid w:val="00284ACC"/>
    <w:rsid w:val="00284C68"/>
    <w:rsid w:val="002853C4"/>
    <w:rsid w:val="00285DB4"/>
    <w:rsid w:val="00286B99"/>
    <w:rsid w:val="00286D38"/>
    <w:rsid w:val="00287262"/>
    <w:rsid w:val="0028795B"/>
    <w:rsid w:val="00287B5B"/>
    <w:rsid w:val="00292F26"/>
    <w:rsid w:val="00297E06"/>
    <w:rsid w:val="002A09E3"/>
    <w:rsid w:val="002A0F91"/>
    <w:rsid w:val="002A12D3"/>
    <w:rsid w:val="002A191F"/>
    <w:rsid w:val="002A30E1"/>
    <w:rsid w:val="002A31B2"/>
    <w:rsid w:val="002A3471"/>
    <w:rsid w:val="002A6A8E"/>
    <w:rsid w:val="002A7CBF"/>
    <w:rsid w:val="002B0D3D"/>
    <w:rsid w:val="002B0D89"/>
    <w:rsid w:val="002B228C"/>
    <w:rsid w:val="002B3287"/>
    <w:rsid w:val="002B3498"/>
    <w:rsid w:val="002B40E0"/>
    <w:rsid w:val="002B44F7"/>
    <w:rsid w:val="002B52AB"/>
    <w:rsid w:val="002B73CA"/>
    <w:rsid w:val="002B7448"/>
    <w:rsid w:val="002C00AB"/>
    <w:rsid w:val="002C2EEA"/>
    <w:rsid w:val="002C4098"/>
    <w:rsid w:val="002C54D6"/>
    <w:rsid w:val="002D0BDE"/>
    <w:rsid w:val="002D1466"/>
    <w:rsid w:val="002D2171"/>
    <w:rsid w:val="002D2248"/>
    <w:rsid w:val="002D3097"/>
    <w:rsid w:val="002D41C1"/>
    <w:rsid w:val="002D717E"/>
    <w:rsid w:val="002D7DA5"/>
    <w:rsid w:val="002E1C97"/>
    <w:rsid w:val="002E1E86"/>
    <w:rsid w:val="002E2C7F"/>
    <w:rsid w:val="002E302C"/>
    <w:rsid w:val="002E3055"/>
    <w:rsid w:val="002E3422"/>
    <w:rsid w:val="002E4FC1"/>
    <w:rsid w:val="002E5B68"/>
    <w:rsid w:val="002F0609"/>
    <w:rsid w:val="002F2BA6"/>
    <w:rsid w:val="002F2CD8"/>
    <w:rsid w:val="00300A53"/>
    <w:rsid w:val="003047D8"/>
    <w:rsid w:val="003049C3"/>
    <w:rsid w:val="0030533F"/>
    <w:rsid w:val="003059E3"/>
    <w:rsid w:val="00310C51"/>
    <w:rsid w:val="00311966"/>
    <w:rsid w:val="00312472"/>
    <w:rsid w:val="00312970"/>
    <w:rsid w:val="00312E14"/>
    <w:rsid w:val="003151A5"/>
    <w:rsid w:val="00316207"/>
    <w:rsid w:val="003171C0"/>
    <w:rsid w:val="0032005D"/>
    <w:rsid w:val="00320458"/>
    <w:rsid w:val="0032048B"/>
    <w:rsid w:val="00320836"/>
    <w:rsid w:val="00321121"/>
    <w:rsid w:val="00322A01"/>
    <w:rsid w:val="00324351"/>
    <w:rsid w:val="003245F1"/>
    <w:rsid w:val="0032471D"/>
    <w:rsid w:val="00326224"/>
    <w:rsid w:val="00330214"/>
    <w:rsid w:val="00330B7F"/>
    <w:rsid w:val="00331958"/>
    <w:rsid w:val="00331C4D"/>
    <w:rsid w:val="00331EF0"/>
    <w:rsid w:val="00332C88"/>
    <w:rsid w:val="003342B6"/>
    <w:rsid w:val="00335582"/>
    <w:rsid w:val="003374D8"/>
    <w:rsid w:val="00340C7E"/>
    <w:rsid w:val="003413E5"/>
    <w:rsid w:val="00342864"/>
    <w:rsid w:val="003457EC"/>
    <w:rsid w:val="0034643C"/>
    <w:rsid w:val="00346567"/>
    <w:rsid w:val="00346EC3"/>
    <w:rsid w:val="00347C0E"/>
    <w:rsid w:val="0035304B"/>
    <w:rsid w:val="003543E7"/>
    <w:rsid w:val="00356901"/>
    <w:rsid w:val="00357755"/>
    <w:rsid w:val="0036032F"/>
    <w:rsid w:val="0036055D"/>
    <w:rsid w:val="00362A80"/>
    <w:rsid w:val="00362B95"/>
    <w:rsid w:val="0036356E"/>
    <w:rsid w:val="003635E7"/>
    <w:rsid w:val="0036388A"/>
    <w:rsid w:val="00367D3A"/>
    <w:rsid w:val="003728A8"/>
    <w:rsid w:val="00372F9E"/>
    <w:rsid w:val="00374D76"/>
    <w:rsid w:val="00374FA0"/>
    <w:rsid w:val="0037542A"/>
    <w:rsid w:val="00375681"/>
    <w:rsid w:val="00375A05"/>
    <w:rsid w:val="00376512"/>
    <w:rsid w:val="00376A99"/>
    <w:rsid w:val="00376D0B"/>
    <w:rsid w:val="00376D36"/>
    <w:rsid w:val="00380960"/>
    <w:rsid w:val="00380F20"/>
    <w:rsid w:val="00381009"/>
    <w:rsid w:val="00384CB0"/>
    <w:rsid w:val="00385677"/>
    <w:rsid w:val="003863CC"/>
    <w:rsid w:val="00386E04"/>
    <w:rsid w:val="00390085"/>
    <w:rsid w:val="003913B7"/>
    <w:rsid w:val="0039476B"/>
    <w:rsid w:val="00394946"/>
    <w:rsid w:val="00395555"/>
    <w:rsid w:val="00397673"/>
    <w:rsid w:val="00397B23"/>
    <w:rsid w:val="003A143E"/>
    <w:rsid w:val="003A4E7A"/>
    <w:rsid w:val="003A5302"/>
    <w:rsid w:val="003A600D"/>
    <w:rsid w:val="003A668A"/>
    <w:rsid w:val="003A6AEB"/>
    <w:rsid w:val="003B2736"/>
    <w:rsid w:val="003B2E89"/>
    <w:rsid w:val="003B4697"/>
    <w:rsid w:val="003B5C5A"/>
    <w:rsid w:val="003B67FE"/>
    <w:rsid w:val="003B77C6"/>
    <w:rsid w:val="003C1652"/>
    <w:rsid w:val="003C2BCD"/>
    <w:rsid w:val="003C2E0C"/>
    <w:rsid w:val="003C2EC1"/>
    <w:rsid w:val="003C2F89"/>
    <w:rsid w:val="003C2FAE"/>
    <w:rsid w:val="003C33A1"/>
    <w:rsid w:val="003C5605"/>
    <w:rsid w:val="003C5CD8"/>
    <w:rsid w:val="003C7D5E"/>
    <w:rsid w:val="003D13FB"/>
    <w:rsid w:val="003D5532"/>
    <w:rsid w:val="003D5754"/>
    <w:rsid w:val="003D635B"/>
    <w:rsid w:val="003D6ACE"/>
    <w:rsid w:val="003D7DE0"/>
    <w:rsid w:val="003E2B08"/>
    <w:rsid w:val="003E357A"/>
    <w:rsid w:val="003E51CD"/>
    <w:rsid w:val="003E53DA"/>
    <w:rsid w:val="003E6863"/>
    <w:rsid w:val="003F2711"/>
    <w:rsid w:val="003F2755"/>
    <w:rsid w:val="003F5243"/>
    <w:rsid w:val="003F5FBD"/>
    <w:rsid w:val="00400256"/>
    <w:rsid w:val="0040187F"/>
    <w:rsid w:val="004024AF"/>
    <w:rsid w:val="00402E68"/>
    <w:rsid w:val="00402F2C"/>
    <w:rsid w:val="00403DD7"/>
    <w:rsid w:val="0040757C"/>
    <w:rsid w:val="0041043A"/>
    <w:rsid w:val="00410C89"/>
    <w:rsid w:val="004116C6"/>
    <w:rsid w:val="00412116"/>
    <w:rsid w:val="004137BD"/>
    <w:rsid w:val="00414D32"/>
    <w:rsid w:val="004163E3"/>
    <w:rsid w:val="0041650C"/>
    <w:rsid w:val="00420DBF"/>
    <w:rsid w:val="0042162D"/>
    <w:rsid w:val="00421BAB"/>
    <w:rsid w:val="004222E1"/>
    <w:rsid w:val="00422374"/>
    <w:rsid w:val="00423656"/>
    <w:rsid w:val="00424760"/>
    <w:rsid w:val="00426C5B"/>
    <w:rsid w:val="004274CF"/>
    <w:rsid w:val="004278FC"/>
    <w:rsid w:val="00431284"/>
    <w:rsid w:val="00431A8D"/>
    <w:rsid w:val="00432B6E"/>
    <w:rsid w:val="0043321E"/>
    <w:rsid w:val="0043402C"/>
    <w:rsid w:val="00434FCB"/>
    <w:rsid w:val="0043616C"/>
    <w:rsid w:val="004361D0"/>
    <w:rsid w:val="00437886"/>
    <w:rsid w:val="00437BEA"/>
    <w:rsid w:val="00441535"/>
    <w:rsid w:val="00442DCD"/>
    <w:rsid w:val="004446DA"/>
    <w:rsid w:val="00444BCC"/>
    <w:rsid w:val="00445750"/>
    <w:rsid w:val="004473E6"/>
    <w:rsid w:val="004500EE"/>
    <w:rsid w:val="004515FC"/>
    <w:rsid w:val="0045187A"/>
    <w:rsid w:val="00452D52"/>
    <w:rsid w:val="004533C9"/>
    <w:rsid w:val="00453DA9"/>
    <w:rsid w:val="004556E2"/>
    <w:rsid w:val="00455749"/>
    <w:rsid w:val="00455822"/>
    <w:rsid w:val="00456714"/>
    <w:rsid w:val="00457C70"/>
    <w:rsid w:val="00460892"/>
    <w:rsid w:val="004614AA"/>
    <w:rsid w:val="00461893"/>
    <w:rsid w:val="00462982"/>
    <w:rsid w:val="00462AF2"/>
    <w:rsid w:val="00467B4E"/>
    <w:rsid w:val="00470A89"/>
    <w:rsid w:val="00471A33"/>
    <w:rsid w:val="00475C56"/>
    <w:rsid w:val="004761D0"/>
    <w:rsid w:val="00476907"/>
    <w:rsid w:val="00476C0C"/>
    <w:rsid w:val="00482D20"/>
    <w:rsid w:val="00483D98"/>
    <w:rsid w:val="0048476E"/>
    <w:rsid w:val="0048640E"/>
    <w:rsid w:val="00486650"/>
    <w:rsid w:val="004901EF"/>
    <w:rsid w:val="00490853"/>
    <w:rsid w:val="00491120"/>
    <w:rsid w:val="00492A26"/>
    <w:rsid w:val="00492AEA"/>
    <w:rsid w:val="00493C8C"/>
    <w:rsid w:val="004941D1"/>
    <w:rsid w:val="004968F4"/>
    <w:rsid w:val="00496EEF"/>
    <w:rsid w:val="00496F29"/>
    <w:rsid w:val="00497355"/>
    <w:rsid w:val="004A0C64"/>
    <w:rsid w:val="004A0F17"/>
    <w:rsid w:val="004A1BE6"/>
    <w:rsid w:val="004A2A0A"/>
    <w:rsid w:val="004A3ACA"/>
    <w:rsid w:val="004A41B3"/>
    <w:rsid w:val="004A66D8"/>
    <w:rsid w:val="004A6C3B"/>
    <w:rsid w:val="004A71B0"/>
    <w:rsid w:val="004B0246"/>
    <w:rsid w:val="004B25F8"/>
    <w:rsid w:val="004B3A90"/>
    <w:rsid w:val="004B4FCF"/>
    <w:rsid w:val="004B6759"/>
    <w:rsid w:val="004B7DCF"/>
    <w:rsid w:val="004C049A"/>
    <w:rsid w:val="004C1692"/>
    <w:rsid w:val="004C3C9B"/>
    <w:rsid w:val="004C48E4"/>
    <w:rsid w:val="004C6635"/>
    <w:rsid w:val="004C673A"/>
    <w:rsid w:val="004C76AE"/>
    <w:rsid w:val="004C7748"/>
    <w:rsid w:val="004D182B"/>
    <w:rsid w:val="004D2422"/>
    <w:rsid w:val="004D27AB"/>
    <w:rsid w:val="004D53CD"/>
    <w:rsid w:val="004D71D2"/>
    <w:rsid w:val="004D7F2D"/>
    <w:rsid w:val="004E0C4B"/>
    <w:rsid w:val="004E0F9E"/>
    <w:rsid w:val="004E12B8"/>
    <w:rsid w:val="004E130D"/>
    <w:rsid w:val="004E18D4"/>
    <w:rsid w:val="004E1ABA"/>
    <w:rsid w:val="004E2A2B"/>
    <w:rsid w:val="004E32F6"/>
    <w:rsid w:val="004E371F"/>
    <w:rsid w:val="004E5405"/>
    <w:rsid w:val="004E6536"/>
    <w:rsid w:val="004E735D"/>
    <w:rsid w:val="004E7B27"/>
    <w:rsid w:val="004F0030"/>
    <w:rsid w:val="004F12BD"/>
    <w:rsid w:val="004F2A4E"/>
    <w:rsid w:val="004F31E9"/>
    <w:rsid w:val="004F3B47"/>
    <w:rsid w:val="004F4028"/>
    <w:rsid w:val="004F518D"/>
    <w:rsid w:val="005005B4"/>
    <w:rsid w:val="0050065B"/>
    <w:rsid w:val="005025E2"/>
    <w:rsid w:val="00502C21"/>
    <w:rsid w:val="005035C5"/>
    <w:rsid w:val="00506784"/>
    <w:rsid w:val="00507A50"/>
    <w:rsid w:val="0051136D"/>
    <w:rsid w:val="00511AE1"/>
    <w:rsid w:val="00511EFB"/>
    <w:rsid w:val="0051223C"/>
    <w:rsid w:val="0051258A"/>
    <w:rsid w:val="00514071"/>
    <w:rsid w:val="005140DF"/>
    <w:rsid w:val="005157D5"/>
    <w:rsid w:val="0051618E"/>
    <w:rsid w:val="005169B9"/>
    <w:rsid w:val="0051708B"/>
    <w:rsid w:val="0052106F"/>
    <w:rsid w:val="00521224"/>
    <w:rsid w:val="00521BAD"/>
    <w:rsid w:val="00523093"/>
    <w:rsid w:val="0052331A"/>
    <w:rsid w:val="00523617"/>
    <w:rsid w:val="00523846"/>
    <w:rsid w:val="00523BCF"/>
    <w:rsid w:val="00524479"/>
    <w:rsid w:val="00524A53"/>
    <w:rsid w:val="005275E0"/>
    <w:rsid w:val="00530565"/>
    <w:rsid w:val="00532108"/>
    <w:rsid w:val="00534941"/>
    <w:rsid w:val="00534CA8"/>
    <w:rsid w:val="00535A05"/>
    <w:rsid w:val="00536448"/>
    <w:rsid w:val="00537436"/>
    <w:rsid w:val="005400FA"/>
    <w:rsid w:val="005406FD"/>
    <w:rsid w:val="00542CFF"/>
    <w:rsid w:val="005430F6"/>
    <w:rsid w:val="005438BD"/>
    <w:rsid w:val="0054685D"/>
    <w:rsid w:val="00546B5F"/>
    <w:rsid w:val="005478A9"/>
    <w:rsid w:val="0055008A"/>
    <w:rsid w:val="0055164C"/>
    <w:rsid w:val="00552C61"/>
    <w:rsid w:val="00553CEC"/>
    <w:rsid w:val="00554A1D"/>
    <w:rsid w:val="005560D5"/>
    <w:rsid w:val="00556397"/>
    <w:rsid w:val="00556512"/>
    <w:rsid w:val="00556CC5"/>
    <w:rsid w:val="00557146"/>
    <w:rsid w:val="00557DD5"/>
    <w:rsid w:val="00561B35"/>
    <w:rsid w:val="00561ECA"/>
    <w:rsid w:val="00564096"/>
    <w:rsid w:val="00566215"/>
    <w:rsid w:val="00566594"/>
    <w:rsid w:val="00567612"/>
    <w:rsid w:val="00567B69"/>
    <w:rsid w:val="00570147"/>
    <w:rsid w:val="005706DE"/>
    <w:rsid w:val="005712F3"/>
    <w:rsid w:val="00571FEC"/>
    <w:rsid w:val="00572E9E"/>
    <w:rsid w:val="005739E5"/>
    <w:rsid w:val="005742DA"/>
    <w:rsid w:val="00575354"/>
    <w:rsid w:val="0057633E"/>
    <w:rsid w:val="00576A62"/>
    <w:rsid w:val="00580405"/>
    <w:rsid w:val="00580742"/>
    <w:rsid w:val="005807A9"/>
    <w:rsid w:val="00581D84"/>
    <w:rsid w:val="005829F2"/>
    <w:rsid w:val="00583A25"/>
    <w:rsid w:val="00583D20"/>
    <w:rsid w:val="00586332"/>
    <w:rsid w:val="00587EF5"/>
    <w:rsid w:val="005901EE"/>
    <w:rsid w:val="00592E1D"/>
    <w:rsid w:val="0059335E"/>
    <w:rsid w:val="00595300"/>
    <w:rsid w:val="00596611"/>
    <w:rsid w:val="0059786E"/>
    <w:rsid w:val="005A075C"/>
    <w:rsid w:val="005A1848"/>
    <w:rsid w:val="005A4388"/>
    <w:rsid w:val="005A46C2"/>
    <w:rsid w:val="005A4B4A"/>
    <w:rsid w:val="005A4B64"/>
    <w:rsid w:val="005A4EA6"/>
    <w:rsid w:val="005A5ADC"/>
    <w:rsid w:val="005A5E59"/>
    <w:rsid w:val="005B099D"/>
    <w:rsid w:val="005B0B7C"/>
    <w:rsid w:val="005B23AE"/>
    <w:rsid w:val="005B4D5A"/>
    <w:rsid w:val="005B6929"/>
    <w:rsid w:val="005B6A89"/>
    <w:rsid w:val="005B7DB1"/>
    <w:rsid w:val="005B7FA9"/>
    <w:rsid w:val="005C221F"/>
    <w:rsid w:val="005C2A4E"/>
    <w:rsid w:val="005C3E25"/>
    <w:rsid w:val="005C3F87"/>
    <w:rsid w:val="005C4FD0"/>
    <w:rsid w:val="005C68A6"/>
    <w:rsid w:val="005C7986"/>
    <w:rsid w:val="005D0B1A"/>
    <w:rsid w:val="005D328C"/>
    <w:rsid w:val="005D4094"/>
    <w:rsid w:val="005D4D5B"/>
    <w:rsid w:val="005D644C"/>
    <w:rsid w:val="005E0F74"/>
    <w:rsid w:val="005E3741"/>
    <w:rsid w:val="005E3A6F"/>
    <w:rsid w:val="005E4A65"/>
    <w:rsid w:val="005E58C9"/>
    <w:rsid w:val="005E5BEE"/>
    <w:rsid w:val="005E62B2"/>
    <w:rsid w:val="005E6EE3"/>
    <w:rsid w:val="005E71F5"/>
    <w:rsid w:val="005E7746"/>
    <w:rsid w:val="005F080D"/>
    <w:rsid w:val="005F0901"/>
    <w:rsid w:val="005F28D4"/>
    <w:rsid w:val="005F2E59"/>
    <w:rsid w:val="005F3676"/>
    <w:rsid w:val="005F55D1"/>
    <w:rsid w:val="005F59B8"/>
    <w:rsid w:val="005F6050"/>
    <w:rsid w:val="00601211"/>
    <w:rsid w:val="006014EA"/>
    <w:rsid w:val="00604784"/>
    <w:rsid w:val="00604AA2"/>
    <w:rsid w:val="0060659A"/>
    <w:rsid w:val="00606A0C"/>
    <w:rsid w:val="00606FFD"/>
    <w:rsid w:val="00607967"/>
    <w:rsid w:val="00607E6A"/>
    <w:rsid w:val="006109F3"/>
    <w:rsid w:val="00610B00"/>
    <w:rsid w:val="006124CD"/>
    <w:rsid w:val="00612642"/>
    <w:rsid w:val="00612B0F"/>
    <w:rsid w:val="0061321A"/>
    <w:rsid w:val="0061396A"/>
    <w:rsid w:val="0061405F"/>
    <w:rsid w:val="00615329"/>
    <w:rsid w:val="00615B3D"/>
    <w:rsid w:val="006169AC"/>
    <w:rsid w:val="00616F89"/>
    <w:rsid w:val="00617183"/>
    <w:rsid w:val="006172A6"/>
    <w:rsid w:val="00617910"/>
    <w:rsid w:val="00617BDF"/>
    <w:rsid w:val="00620BA7"/>
    <w:rsid w:val="00621F9E"/>
    <w:rsid w:val="00622923"/>
    <w:rsid w:val="00623F42"/>
    <w:rsid w:val="00624C48"/>
    <w:rsid w:val="0062502A"/>
    <w:rsid w:val="006269DC"/>
    <w:rsid w:val="0063024C"/>
    <w:rsid w:val="00631900"/>
    <w:rsid w:val="0063220C"/>
    <w:rsid w:val="00633E1F"/>
    <w:rsid w:val="00634024"/>
    <w:rsid w:val="00634B37"/>
    <w:rsid w:val="00637467"/>
    <w:rsid w:val="00637563"/>
    <w:rsid w:val="0063796C"/>
    <w:rsid w:val="00637F62"/>
    <w:rsid w:val="00640989"/>
    <w:rsid w:val="006409F4"/>
    <w:rsid w:val="00640A84"/>
    <w:rsid w:val="00641D4D"/>
    <w:rsid w:val="006437F9"/>
    <w:rsid w:val="0064416A"/>
    <w:rsid w:val="0064556E"/>
    <w:rsid w:val="006460FC"/>
    <w:rsid w:val="006461C6"/>
    <w:rsid w:val="006462E1"/>
    <w:rsid w:val="00646B40"/>
    <w:rsid w:val="006514C6"/>
    <w:rsid w:val="00653880"/>
    <w:rsid w:val="00656FA2"/>
    <w:rsid w:val="00660705"/>
    <w:rsid w:val="006607C2"/>
    <w:rsid w:val="0066138B"/>
    <w:rsid w:val="00662A1D"/>
    <w:rsid w:val="0066429A"/>
    <w:rsid w:val="006645BC"/>
    <w:rsid w:val="00664DDB"/>
    <w:rsid w:val="00666695"/>
    <w:rsid w:val="00667696"/>
    <w:rsid w:val="006708E2"/>
    <w:rsid w:val="00670DB8"/>
    <w:rsid w:val="0067181B"/>
    <w:rsid w:val="006718FC"/>
    <w:rsid w:val="00673829"/>
    <w:rsid w:val="00674037"/>
    <w:rsid w:val="006741A3"/>
    <w:rsid w:val="00675AF5"/>
    <w:rsid w:val="00676115"/>
    <w:rsid w:val="0067625A"/>
    <w:rsid w:val="00676C7F"/>
    <w:rsid w:val="00677944"/>
    <w:rsid w:val="006800D9"/>
    <w:rsid w:val="00680B2C"/>
    <w:rsid w:val="00681809"/>
    <w:rsid w:val="00682B20"/>
    <w:rsid w:val="00682C08"/>
    <w:rsid w:val="00682D7B"/>
    <w:rsid w:val="00683D45"/>
    <w:rsid w:val="0068468B"/>
    <w:rsid w:val="0068546E"/>
    <w:rsid w:val="00685628"/>
    <w:rsid w:val="006900BD"/>
    <w:rsid w:val="0069046F"/>
    <w:rsid w:val="00691CDF"/>
    <w:rsid w:val="00692A8B"/>
    <w:rsid w:val="0069304C"/>
    <w:rsid w:val="00693E8B"/>
    <w:rsid w:val="00694020"/>
    <w:rsid w:val="0069431E"/>
    <w:rsid w:val="006954E0"/>
    <w:rsid w:val="00695926"/>
    <w:rsid w:val="00696326"/>
    <w:rsid w:val="006966C3"/>
    <w:rsid w:val="00696B5D"/>
    <w:rsid w:val="006A4887"/>
    <w:rsid w:val="006A5C26"/>
    <w:rsid w:val="006A5CBC"/>
    <w:rsid w:val="006A7067"/>
    <w:rsid w:val="006A71D5"/>
    <w:rsid w:val="006A7791"/>
    <w:rsid w:val="006A77FE"/>
    <w:rsid w:val="006A7B75"/>
    <w:rsid w:val="006B0653"/>
    <w:rsid w:val="006B3537"/>
    <w:rsid w:val="006B39A5"/>
    <w:rsid w:val="006B4DBC"/>
    <w:rsid w:val="006B5399"/>
    <w:rsid w:val="006B57BA"/>
    <w:rsid w:val="006B5BD1"/>
    <w:rsid w:val="006B6530"/>
    <w:rsid w:val="006C0AE8"/>
    <w:rsid w:val="006C31C6"/>
    <w:rsid w:val="006C37E2"/>
    <w:rsid w:val="006C3C67"/>
    <w:rsid w:val="006C5C47"/>
    <w:rsid w:val="006C6A56"/>
    <w:rsid w:val="006D194D"/>
    <w:rsid w:val="006D3D85"/>
    <w:rsid w:val="006D4CA5"/>
    <w:rsid w:val="006D55B8"/>
    <w:rsid w:val="006D664F"/>
    <w:rsid w:val="006D6FC9"/>
    <w:rsid w:val="006D7E09"/>
    <w:rsid w:val="006D7ED3"/>
    <w:rsid w:val="006E03C3"/>
    <w:rsid w:val="006E224D"/>
    <w:rsid w:val="006E2C16"/>
    <w:rsid w:val="006E3CA5"/>
    <w:rsid w:val="006E3D3C"/>
    <w:rsid w:val="006E5047"/>
    <w:rsid w:val="006E6A54"/>
    <w:rsid w:val="006E7395"/>
    <w:rsid w:val="006F0E34"/>
    <w:rsid w:val="006F1EBB"/>
    <w:rsid w:val="006F2288"/>
    <w:rsid w:val="006F2884"/>
    <w:rsid w:val="006F423F"/>
    <w:rsid w:val="006F6A3D"/>
    <w:rsid w:val="00700A61"/>
    <w:rsid w:val="00701542"/>
    <w:rsid w:val="007035B4"/>
    <w:rsid w:val="00703C42"/>
    <w:rsid w:val="00703EBD"/>
    <w:rsid w:val="007042B9"/>
    <w:rsid w:val="0070507F"/>
    <w:rsid w:val="00705F90"/>
    <w:rsid w:val="0070619C"/>
    <w:rsid w:val="0070624F"/>
    <w:rsid w:val="00707C58"/>
    <w:rsid w:val="00710725"/>
    <w:rsid w:val="00711D6E"/>
    <w:rsid w:val="007123DC"/>
    <w:rsid w:val="00713C04"/>
    <w:rsid w:val="007142A0"/>
    <w:rsid w:val="00715C74"/>
    <w:rsid w:val="007171EE"/>
    <w:rsid w:val="007213C7"/>
    <w:rsid w:val="007238FE"/>
    <w:rsid w:val="00723914"/>
    <w:rsid w:val="00724A46"/>
    <w:rsid w:val="00725B93"/>
    <w:rsid w:val="00726506"/>
    <w:rsid w:val="0072722B"/>
    <w:rsid w:val="0072736C"/>
    <w:rsid w:val="00730C07"/>
    <w:rsid w:val="007315B9"/>
    <w:rsid w:val="00733D89"/>
    <w:rsid w:val="00733D96"/>
    <w:rsid w:val="007371F6"/>
    <w:rsid w:val="00737856"/>
    <w:rsid w:val="007406B3"/>
    <w:rsid w:val="007415E1"/>
    <w:rsid w:val="00741B49"/>
    <w:rsid w:val="00741E3E"/>
    <w:rsid w:val="00744CF8"/>
    <w:rsid w:val="00746067"/>
    <w:rsid w:val="007462A3"/>
    <w:rsid w:val="00747B08"/>
    <w:rsid w:val="00752772"/>
    <w:rsid w:val="007530E6"/>
    <w:rsid w:val="007549C3"/>
    <w:rsid w:val="00757B55"/>
    <w:rsid w:val="00761443"/>
    <w:rsid w:val="00761595"/>
    <w:rsid w:val="00761C55"/>
    <w:rsid w:val="007641AF"/>
    <w:rsid w:val="00765377"/>
    <w:rsid w:val="007701AE"/>
    <w:rsid w:val="0077076C"/>
    <w:rsid w:val="007729AB"/>
    <w:rsid w:val="00773245"/>
    <w:rsid w:val="00773E46"/>
    <w:rsid w:val="00774A3C"/>
    <w:rsid w:val="00777B89"/>
    <w:rsid w:val="007805AF"/>
    <w:rsid w:val="00781AB7"/>
    <w:rsid w:val="00782757"/>
    <w:rsid w:val="00782DF4"/>
    <w:rsid w:val="00783D79"/>
    <w:rsid w:val="00783EDD"/>
    <w:rsid w:val="00784162"/>
    <w:rsid w:val="0078515D"/>
    <w:rsid w:val="00785CE7"/>
    <w:rsid w:val="00790A50"/>
    <w:rsid w:val="007948D9"/>
    <w:rsid w:val="00796554"/>
    <w:rsid w:val="00796D60"/>
    <w:rsid w:val="00797712"/>
    <w:rsid w:val="007A1A7F"/>
    <w:rsid w:val="007A29F7"/>
    <w:rsid w:val="007A3447"/>
    <w:rsid w:val="007A3D85"/>
    <w:rsid w:val="007A3DB7"/>
    <w:rsid w:val="007A5E04"/>
    <w:rsid w:val="007A66D7"/>
    <w:rsid w:val="007B0347"/>
    <w:rsid w:val="007B0660"/>
    <w:rsid w:val="007B144B"/>
    <w:rsid w:val="007B2610"/>
    <w:rsid w:val="007B3F94"/>
    <w:rsid w:val="007B4555"/>
    <w:rsid w:val="007B564A"/>
    <w:rsid w:val="007B5C3B"/>
    <w:rsid w:val="007B7A72"/>
    <w:rsid w:val="007C1026"/>
    <w:rsid w:val="007C2AEB"/>
    <w:rsid w:val="007C3278"/>
    <w:rsid w:val="007C392F"/>
    <w:rsid w:val="007C4A0A"/>
    <w:rsid w:val="007C4CDC"/>
    <w:rsid w:val="007C5921"/>
    <w:rsid w:val="007D162A"/>
    <w:rsid w:val="007D1853"/>
    <w:rsid w:val="007D2751"/>
    <w:rsid w:val="007D293B"/>
    <w:rsid w:val="007D3A94"/>
    <w:rsid w:val="007D3F52"/>
    <w:rsid w:val="007D4FF4"/>
    <w:rsid w:val="007D5E5A"/>
    <w:rsid w:val="007D6338"/>
    <w:rsid w:val="007E111F"/>
    <w:rsid w:val="007E1BC3"/>
    <w:rsid w:val="007E2381"/>
    <w:rsid w:val="007E2721"/>
    <w:rsid w:val="007E2956"/>
    <w:rsid w:val="007E2CE9"/>
    <w:rsid w:val="007E31DA"/>
    <w:rsid w:val="007E4E71"/>
    <w:rsid w:val="007E57C0"/>
    <w:rsid w:val="007E6E1A"/>
    <w:rsid w:val="007F0095"/>
    <w:rsid w:val="007F0762"/>
    <w:rsid w:val="007F076C"/>
    <w:rsid w:val="007F0DA2"/>
    <w:rsid w:val="007F15C4"/>
    <w:rsid w:val="007F2C18"/>
    <w:rsid w:val="007F53EE"/>
    <w:rsid w:val="007F5C81"/>
    <w:rsid w:val="007F637B"/>
    <w:rsid w:val="007F6DE9"/>
    <w:rsid w:val="007F70E0"/>
    <w:rsid w:val="00800AFC"/>
    <w:rsid w:val="00800CB8"/>
    <w:rsid w:val="00802773"/>
    <w:rsid w:val="008033F1"/>
    <w:rsid w:val="00803F79"/>
    <w:rsid w:val="008042F5"/>
    <w:rsid w:val="0080549B"/>
    <w:rsid w:val="00805E86"/>
    <w:rsid w:val="00806709"/>
    <w:rsid w:val="00810C5F"/>
    <w:rsid w:val="00810F6F"/>
    <w:rsid w:val="008115BE"/>
    <w:rsid w:val="008123A0"/>
    <w:rsid w:val="00814D45"/>
    <w:rsid w:val="00815BEF"/>
    <w:rsid w:val="00815DA4"/>
    <w:rsid w:val="00816CA3"/>
    <w:rsid w:val="00820490"/>
    <w:rsid w:val="00820D21"/>
    <w:rsid w:val="0082305A"/>
    <w:rsid w:val="0082355A"/>
    <w:rsid w:val="00823B66"/>
    <w:rsid w:val="00824689"/>
    <w:rsid w:val="00826451"/>
    <w:rsid w:val="008264D5"/>
    <w:rsid w:val="00826B4C"/>
    <w:rsid w:val="00826D49"/>
    <w:rsid w:val="008305CA"/>
    <w:rsid w:val="008317B7"/>
    <w:rsid w:val="00832A76"/>
    <w:rsid w:val="00833F8D"/>
    <w:rsid w:val="0083562A"/>
    <w:rsid w:val="00835FE0"/>
    <w:rsid w:val="0084096B"/>
    <w:rsid w:val="00841C1C"/>
    <w:rsid w:val="008426F3"/>
    <w:rsid w:val="00843496"/>
    <w:rsid w:val="008434C3"/>
    <w:rsid w:val="00843A10"/>
    <w:rsid w:val="00844771"/>
    <w:rsid w:val="0084506F"/>
    <w:rsid w:val="008458E7"/>
    <w:rsid w:val="00845D6D"/>
    <w:rsid w:val="00846033"/>
    <w:rsid w:val="00846A94"/>
    <w:rsid w:val="00847687"/>
    <w:rsid w:val="008514BA"/>
    <w:rsid w:val="00851C58"/>
    <w:rsid w:val="00853656"/>
    <w:rsid w:val="00854BBF"/>
    <w:rsid w:val="00854F9D"/>
    <w:rsid w:val="00856435"/>
    <w:rsid w:val="00856721"/>
    <w:rsid w:val="00856AB6"/>
    <w:rsid w:val="00856BFF"/>
    <w:rsid w:val="00856EFA"/>
    <w:rsid w:val="008601D1"/>
    <w:rsid w:val="00860557"/>
    <w:rsid w:val="00862766"/>
    <w:rsid w:val="00862CE0"/>
    <w:rsid w:val="00862E7D"/>
    <w:rsid w:val="008634DF"/>
    <w:rsid w:val="00863E7E"/>
    <w:rsid w:val="00865C6E"/>
    <w:rsid w:val="0086686E"/>
    <w:rsid w:val="00866B7B"/>
    <w:rsid w:val="00870D50"/>
    <w:rsid w:val="00880410"/>
    <w:rsid w:val="00880936"/>
    <w:rsid w:val="00880B39"/>
    <w:rsid w:val="008820DC"/>
    <w:rsid w:val="008829C6"/>
    <w:rsid w:val="008846B0"/>
    <w:rsid w:val="00884A30"/>
    <w:rsid w:val="00885276"/>
    <w:rsid w:val="00887341"/>
    <w:rsid w:val="0088776F"/>
    <w:rsid w:val="00887C89"/>
    <w:rsid w:val="00887FC4"/>
    <w:rsid w:val="008901FF"/>
    <w:rsid w:val="008903AF"/>
    <w:rsid w:val="00891F00"/>
    <w:rsid w:val="00894141"/>
    <w:rsid w:val="008959D1"/>
    <w:rsid w:val="00897651"/>
    <w:rsid w:val="00897D4A"/>
    <w:rsid w:val="008A032C"/>
    <w:rsid w:val="008A09F1"/>
    <w:rsid w:val="008A1D9A"/>
    <w:rsid w:val="008A2094"/>
    <w:rsid w:val="008A3BFF"/>
    <w:rsid w:val="008A4E8A"/>
    <w:rsid w:val="008A749D"/>
    <w:rsid w:val="008A7B22"/>
    <w:rsid w:val="008B058A"/>
    <w:rsid w:val="008B1216"/>
    <w:rsid w:val="008B1AF2"/>
    <w:rsid w:val="008B2998"/>
    <w:rsid w:val="008B299C"/>
    <w:rsid w:val="008B4D4D"/>
    <w:rsid w:val="008B4FEA"/>
    <w:rsid w:val="008B5D16"/>
    <w:rsid w:val="008B7425"/>
    <w:rsid w:val="008B7551"/>
    <w:rsid w:val="008C373C"/>
    <w:rsid w:val="008C42D8"/>
    <w:rsid w:val="008C44A9"/>
    <w:rsid w:val="008C5320"/>
    <w:rsid w:val="008C7317"/>
    <w:rsid w:val="008D0881"/>
    <w:rsid w:val="008D14F3"/>
    <w:rsid w:val="008D1B41"/>
    <w:rsid w:val="008D336F"/>
    <w:rsid w:val="008D3DB8"/>
    <w:rsid w:val="008D4AD3"/>
    <w:rsid w:val="008D5407"/>
    <w:rsid w:val="008D5A61"/>
    <w:rsid w:val="008D730A"/>
    <w:rsid w:val="008E32A9"/>
    <w:rsid w:val="008E3420"/>
    <w:rsid w:val="008E453D"/>
    <w:rsid w:val="008E4698"/>
    <w:rsid w:val="008E5491"/>
    <w:rsid w:val="008E7E03"/>
    <w:rsid w:val="008F0E31"/>
    <w:rsid w:val="008F1385"/>
    <w:rsid w:val="008F14C3"/>
    <w:rsid w:val="008F23AE"/>
    <w:rsid w:val="008F2AF5"/>
    <w:rsid w:val="008F43C5"/>
    <w:rsid w:val="008F59E5"/>
    <w:rsid w:val="008F5F94"/>
    <w:rsid w:val="008F659B"/>
    <w:rsid w:val="008F78B6"/>
    <w:rsid w:val="008F7F1C"/>
    <w:rsid w:val="00900233"/>
    <w:rsid w:val="00900F45"/>
    <w:rsid w:val="00902837"/>
    <w:rsid w:val="00904451"/>
    <w:rsid w:val="009054B8"/>
    <w:rsid w:val="00907732"/>
    <w:rsid w:val="00907BAE"/>
    <w:rsid w:val="00911558"/>
    <w:rsid w:val="00912A86"/>
    <w:rsid w:val="0091377B"/>
    <w:rsid w:val="009137AE"/>
    <w:rsid w:val="00914551"/>
    <w:rsid w:val="00915C43"/>
    <w:rsid w:val="00916447"/>
    <w:rsid w:val="0091648B"/>
    <w:rsid w:val="0091687B"/>
    <w:rsid w:val="00916C9E"/>
    <w:rsid w:val="00917731"/>
    <w:rsid w:val="009178C5"/>
    <w:rsid w:val="00921072"/>
    <w:rsid w:val="0092117E"/>
    <w:rsid w:val="009217AB"/>
    <w:rsid w:val="00922110"/>
    <w:rsid w:val="00923B4C"/>
    <w:rsid w:val="0092414D"/>
    <w:rsid w:val="00925409"/>
    <w:rsid w:val="00926BEC"/>
    <w:rsid w:val="00926CBE"/>
    <w:rsid w:val="00930382"/>
    <w:rsid w:val="00931185"/>
    <w:rsid w:val="0093191B"/>
    <w:rsid w:val="00933556"/>
    <w:rsid w:val="0093412A"/>
    <w:rsid w:val="00934523"/>
    <w:rsid w:val="009358F8"/>
    <w:rsid w:val="009362A3"/>
    <w:rsid w:val="00936460"/>
    <w:rsid w:val="0093714C"/>
    <w:rsid w:val="00937C48"/>
    <w:rsid w:val="00937D11"/>
    <w:rsid w:val="009425E3"/>
    <w:rsid w:val="00943DE8"/>
    <w:rsid w:val="00944370"/>
    <w:rsid w:val="00944A9C"/>
    <w:rsid w:val="00945881"/>
    <w:rsid w:val="00947123"/>
    <w:rsid w:val="00950A34"/>
    <w:rsid w:val="009517F4"/>
    <w:rsid w:val="00951E49"/>
    <w:rsid w:val="00952075"/>
    <w:rsid w:val="0095342B"/>
    <w:rsid w:val="0095596B"/>
    <w:rsid w:val="00957284"/>
    <w:rsid w:val="0096102C"/>
    <w:rsid w:val="00962673"/>
    <w:rsid w:val="00964155"/>
    <w:rsid w:val="00965009"/>
    <w:rsid w:val="00966912"/>
    <w:rsid w:val="009672FA"/>
    <w:rsid w:val="00970CA3"/>
    <w:rsid w:val="00972764"/>
    <w:rsid w:val="00973CA9"/>
    <w:rsid w:val="00974EDD"/>
    <w:rsid w:val="00975E67"/>
    <w:rsid w:val="00976EAB"/>
    <w:rsid w:val="009816F6"/>
    <w:rsid w:val="00983B38"/>
    <w:rsid w:val="009844DE"/>
    <w:rsid w:val="0098731B"/>
    <w:rsid w:val="00990386"/>
    <w:rsid w:val="00994036"/>
    <w:rsid w:val="0099475E"/>
    <w:rsid w:val="00994D87"/>
    <w:rsid w:val="00995104"/>
    <w:rsid w:val="009968D3"/>
    <w:rsid w:val="009A09D2"/>
    <w:rsid w:val="009A0D0C"/>
    <w:rsid w:val="009A35E6"/>
    <w:rsid w:val="009A4069"/>
    <w:rsid w:val="009A5AEB"/>
    <w:rsid w:val="009A5CAB"/>
    <w:rsid w:val="009A79AA"/>
    <w:rsid w:val="009B14CB"/>
    <w:rsid w:val="009B1EB2"/>
    <w:rsid w:val="009B3C94"/>
    <w:rsid w:val="009B4B69"/>
    <w:rsid w:val="009B5438"/>
    <w:rsid w:val="009B626D"/>
    <w:rsid w:val="009B67CD"/>
    <w:rsid w:val="009B6B52"/>
    <w:rsid w:val="009B735C"/>
    <w:rsid w:val="009C0B32"/>
    <w:rsid w:val="009C15B2"/>
    <w:rsid w:val="009C1D7F"/>
    <w:rsid w:val="009C264C"/>
    <w:rsid w:val="009C3230"/>
    <w:rsid w:val="009C3B69"/>
    <w:rsid w:val="009C47CD"/>
    <w:rsid w:val="009C4AAA"/>
    <w:rsid w:val="009C4ECB"/>
    <w:rsid w:val="009C5113"/>
    <w:rsid w:val="009C5D26"/>
    <w:rsid w:val="009C61FF"/>
    <w:rsid w:val="009C6647"/>
    <w:rsid w:val="009C7585"/>
    <w:rsid w:val="009C764D"/>
    <w:rsid w:val="009C7C28"/>
    <w:rsid w:val="009C7F42"/>
    <w:rsid w:val="009D18B2"/>
    <w:rsid w:val="009D28C5"/>
    <w:rsid w:val="009D5450"/>
    <w:rsid w:val="009D6665"/>
    <w:rsid w:val="009D6ECA"/>
    <w:rsid w:val="009D6FD8"/>
    <w:rsid w:val="009D74F7"/>
    <w:rsid w:val="009E1078"/>
    <w:rsid w:val="009E2342"/>
    <w:rsid w:val="009E3823"/>
    <w:rsid w:val="009E408B"/>
    <w:rsid w:val="009E53BC"/>
    <w:rsid w:val="009E6463"/>
    <w:rsid w:val="009F03F0"/>
    <w:rsid w:val="009F05E1"/>
    <w:rsid w:val="009F0E04"/>
    <w:rsid w:val="009F12AE"/>
    <w:rsid w:val="009F232C"/>
    <w:rsid w:val="009F3A63"/>
    <w:rsid w:val="009F42A4"/>
    <w:rsid w:val="009F4546"/>
    <w:rsid w:val="009F4DDE"/>
    <w:rsid w:val="009F5845"/>
    <w:rsid w:val="009F5CFC"/>
    <w:rsid w:val="009F7574"/>
    <w:rsid w:val="00A009DE"/>
    <w:rsid w:val="00A00A1E"/>
    <w:rsid w:val="00A00BB9"/>
    <w:rsid w:val="00A01621"/>
    <w:rsid w:val="00A02A08"/>
    <w:rsid w:val="00A02B80"/>
    <w:rsid w:val="00A02CC2"/>
    <w:rsid w:val="00A05938"/>
    <w:rsid w:val="00A06192"/>
    <w:rsid w:val="00A06307"/>
    <w:rsid w:val="00A068B6"/>
    <w:rsid w:val="00A06AE1"/>
    <w:rsid w:val="00A06D11"/>
    <w:rsid w:val="00A06D49"/>
    <w:rsid w:val="00A07829"/>
    <w:rsid w:val="00A1117C"/>
    <w:rsid w:val="00A12480"/>
    <w:rsid w:val="00A12B63"/>
    <w:rsid w:val="00A12C9A"/>
    <w:rsid w:val="00A12DC8"/>
    <w:rsid w:val="00A13381"/>
    <w:rsid w:val="00A133EF"/>
    <w:rsid w:val="00A13C15"/>
    <w:rsid w:val="00A1436B"/>
    <w:rsid w:val="00A14C6C"/>
    <w:rsid w:val="00A156CB"/>
    <w:rsid w:val="00A15735"/>
    <w:rsid w:val="00A15A99"/>
    <w:rsid w:val="00A15D79"/>
    <w:rsid w:val="00A171FA"/>
    <w:rsid w:val="00A17ED9"/>
    <w:rsid w:val="00A2196B"/>
    <w:rsid w:val="00A21DC1"/>
    <w:rsid w:val="00A2470C"/>
    <w:rsid w:val="00A24978"/>
    <w:rsid w:val="00A25082"/>
    <w:rsid w:val="00A26157"/>
    <w:rsid w:val="00A27C6C"/>
    <w:rsid w:val="00A301CA"/>
    <w:rsid w:val="00A3100E"/>
    <w:rsid w:val="00A31552"/>
    <w:rsid w:val="00A31829"/>
    <w:rsid w:val="00A3298F"/>
    <w:rsid w:val="00A32B5D"/>
    <w:rsid w:val="00A3356E"/>
    <w:rsid w:val="00A33D87"/>
    <w:rsid w:val="00A33FDA"/>
    <w:rsid w:val="00A3510D"/>
    <w:rsid w:val="00A35165"/>
    <w:rsid w:val="00A359BC"/>
    <w:rsid w:val="00A361F0"/>
    <w:rsid w:val="00A36B17"/>
    <w:rsid w:val="00A40F47"/>
    <w:rsid w:val="00A41B08"/>
    <w:rsid w:val="00A41C13"/>
    <w:rsid w:val="00A454B3"/>
    <w:rsid w:val="00A45F24"/>
    <w:rsid w:val="00A4770D"/>
    <w:rsid w:val="00A518F4"/>
    <w:rsid w:val="00A519A8"/>
    <w:rsid w:val="00A52F34"/>
    <w:rsid w:val="00A544B3"/>
    <w:rsid w:val="00A54732"/>
    <w:rsid w:val="00A57616"/>
    <w:rsid w:val="00A609AA"/>
    <w:rsid w:val="00A61166"/>
    <w:rsid w:val="00A61C55"/>
    <w:rsid w:val="00A63FCD"/>
    <w:rsid w:val="00A66959"/>
    <w:rsid w:val="00A70CD3"/>
    <w:rsid w:val="00A71507"/>
    <w:rsid w:val="00A71BDE"/>
    <w:rsid w:val="00A728D7"/>
    <w:rsid w:val="00A72D9D"/>
    <w:rsid w:val="00A74C1A"/>
    <w:rsid w:val="00A7754C"/>
    <w:rsid w:val="00A77D31"/>
    <w:rsid w:val="00A80BC8"/>
    <w:rsid w:val="00A81569"/>
    <w:rsid w:val="00A8203C"/>
    <w:rsid w:val="00A82FAB"/>
    <w:rsid w:val="00A84900"/>
    <w:rsid w:val="00A84A87"/>
    <w:rsid w:val="00A87EDE"/>
    <w:rsid w:val="00A90573"/>
    <w:rsid w:val="00A90FD8"/>
    <w:rsid w:val="00A9174D"/>
    <w:rsid w:val="00A918FD"/>
    <w:rsid w:val="00A924A0"/>
    <w:rsid w:val="00A933D6"/>
    <w:rsid w:val="00A9518E"/>
    <w:rsid w:val="00A963DF"/>
    <w:rsid w:val="00A96717"/>
    <w:rsid w:val="00A96CEA"/>
    <w:rsid w:val="00A97336"/>
    <w:rsid w:val="00A9769F"/>
    <w:rsid w:val="00AA07E9"/>
    <w:rsid w:val="00AA2338"/>
    <w:rsid w:val="00AA2345"/>
    <w:rsid w:val="00AA30A7"/>
    <w:rsid w:val="00AA466C"/>
    <w:rsid w:val="00AA58DE"/>
    <w:rsid w:val="00AA6607"/>
    <w:rsid w:val="00AA7D14"/>
    <w:rsid w:val="00AB0179"/>
    <w:rsid w:val="00AB1294"/>
    <w:rsid w:val="00AB1666"/>
    <w:rsid w:val="00AB1A3D"/>
    <w:rsid w:val="00AB2692"/>
    <w:rsid w:val="00AB54CC"/>
    <w:rsid w:val="00AB5645"/>
    <w:rsid w:val="00AB6102"/>
    <w:rsid w:val="00AB7E9E"/>
    <w:rsid w:val="00AB7FC3"/>
    <w:rsid w:val="00AC1262"/>
    <w:rsid w:val="00AC1544"/>
    <w:rsid w:val="00AC2041"/>
    <w:rsid w:val="00AC3061"/>
    <w:rsid w:val="00AC3920"/>
    <w:rsid w:val="00AC46E7"/>
    <w:rsid w:val="00AC6250"/>
    <w:rsid w:val="00AD04FF"/>
    <w:rsid w:val="00AD07FD"/>
    <w:rsid w:val="00AD178B"/>
    <w:rsid w:val="00AD2AF8"/>
    <w:rsid w:val="00AD2CDC"/>
    <w:rsid w:val="00AD45B1"/>
    <w:rsid w:val="00AD59F8"/>
    <w:rsid w:val="00AE03D7"/>
    <w:rsid w:val="00AE0513"/>
    <w:rsid w:val="00AE0913"/>
    <w:rsid w:val="00AE0940"/>
    <w:rsid w:val="00AE131B"/>
    <w:rsid w:val="00AE1B67"/>
    <w:rsid w:val="00AE2E8E"/>
    <w:rsid w:val="00AE3724"/>
    <w:rsid w:val="00AE53EF"/>
    <w:rsid w:val="00AE5BF2"/>
    <w:rsid w:val="00AE6379"/>
    <w:rsid w:val="00AF026C"/>
    <w:rsid w:val="00AF25F5"/>
    <w:rsid w:val="00AF3409"/>
    <w:rsid w:val="00AF3DAE"/>
    <w:rsid w:val="00AF5F1A"/>
    <w:rsid w:val="00AF6E4F"/>
    <w:rsid w:val="00AF758C"/>
    <w:rsid w:val="00B0002F"/>
    <w:rsid w:val="00B001E6"/>
    <w:rsid w:val="00B024CA"/>
    <w:rsid w:val="00B036B9"/>
    <w:rsid w:val="00B049EA"/>
    <w:rsid w:val="00B0522D"/>
    <w:rsid w:val="00B06313"/>
    <w:rsid w:val="00B112E9"/>
    <w:rsid w:val="00B1511D"/>
    <w:rsid w:val="00B1592A"/>
    <w:rsid w:val="00B1599B"/>
    <w:rsid w:val="00B159D7"/>
    <w:rsid w:val="00B15D38"/>
    <w:rsid w:val="00B16984"/>
    <w:rsid w:val="00B17907"/>
    <w:rsid w:val="00B21423"/>
    <w:rsid w:val="00B22B82"/>
    <w:rsid w:val="00B23D49"/>
    <w:rsid w:val="00B250DE"/>
    <w:rsid w:val="00B26CF5"/>
    <w:rsid w:val="00B2753F"/>
    <w:rsid w:val="00B277A1"/>
    <w:rsid w:val="00B27BCA"/>
    <w:rsid w:val="00B3063D"/>
    <w:rsid w:val="00B30A71"/>
    <w:rsid w:val="00B3239B"/>
    <w:rsid w:val="00B3264A"/>
    <w:rsid w:val="00B33475"/>
    <w:rsid w:val="00B37257"/>
    <w:rsid w:val="00B37EB5"/>
    <w:rsid w:val="00B40EEB"/>
    <w:rsid w:val="00B41186"/>
    <w:rsid w:val="00B42B4C"/>
    <w:rsid w:val="00B43950"/>
    <w:rsid w:val="00B460EA"/>
    <w:rsid w:val="00B470C1"/>
    <w:rsid w:val="00B475A1"/>
    <w:rsid w:val="00B47B9A"/>
    <w:rsid w:val="00B50AF0"/>
    <w:rsid w:val="00B51865"/>
    <w:rsid w:val="00B5233F"/>
    <w:rsid w:val="00B5235A"/>
    <w:rsid w:val="00B53931"/>
    <w:rsid w:val="00B542AE"/>
    <w:rsid w:val="00B5471A"/>
    <w:rsid w:val="00B54829"/>
    <w:rsid w:val="00B54DB2"/>
    <w:rsid w:val="00B54DFC"/>
    <w:rsid w:val="00B5557A"/>
    <w:rsid w:val="00B55DD3"/>
    <w:rsid w:val="00B562BF"/>
    <w:rsid w:val="00B56C83"/>
    <w:rsid w:val="00B57150"/>
    <w:rsid w:val="00B573B5"/>
    <w:rsid w:val="00B577E5"/>
    <w:rsid w:val="00B60CB5"/>
    <w:rsid w:val="00B60E3A"/>
    <w:rsid w:val="00B60E70"/>
    <w:rsid w:val="00B65842"/>
    <w:rsid w:val="00B701E4"/>
    <w:rsid w:val="00B722AC"/>
    <w:rsid w:val="00B72484"/>
    <w:rsid w:val="00B762F8"/>
    <w:rsid w:val="00B764D4"/>
    <w:rsid w:val="00B76556"/>
    <w:rsid w:val="00B76E16"/>
    <w:rsid w:val="00B851B3"/>
    <w:rsid w:val="00B900F4"/>
    <w:rsid w:val="00B907ED"/>
    <w:rsid w:val="00B910F9"/>
    <w:rsid w:val="00B91CD6"/>
    <w:rsid w:val="00B93B7D"/>
    <w:rsid w:val="00B946F9"/>
    <w:rsid w:val="00B947EB"/>
    <w:rsid w:val="00B9660D"/>
    <w:rsid w:val="00B972B2"/>
    <w:rsid w:val="00B97351"/>
    <w:rsid w:val="00BA0B09"/>
    <w:rsid w:val="00BA0E84"/>
    <w:rsid w:val="00BA0F1B"/>
    <w:rsid w:val="00BA5E01"/>
    <w:rsid w:val="00BA6604"/>
    <w:rsid w:val="00BA6DE2"/>
    <w:rsid w:val="00BB05FB"/>
    <w:rsid w:val="00BB0DDF"/>
    <w:rsid w:val="00BB27F9"/>
    <w:rsid w:val="00BB6B25"/>
    <w:rsid w:val="00BB72D1"/>
    <w:rsid w:val="00BC0A9E"/>
    <w:rsid w:val="00BC1F44"/>
    <w:rsid w:val="00BC2801"/>
    <w:rsid w:val="00BC3009"/>
    <w:rsid w:val="00BC3ADC"/>
    <w:rsid w:val="00BC4433"/>
    <w:rsid w:val="00BC47A4"/>
    <w:rsid w:val="00BC4EE3"/>
    <w:rsid w:val="00BD2975"/>
    <w:rsid w:val="00BD4353"/>
    <w:rsid w:val="00BD5506"/>
    <w:rsid w:val="00BD5742"/>
    <w:rsid w:val="00BD6753"/>
    <w:rsid w:val="00BD693F"/>
    <w:rsid w:val="00BD76A5"/>
    <w:rsid w:val="00BE03EC"/>
    <w:rsid w:val="00BE0BAB"/>
    <w:rsid w:val="00BE29C4"/>
    <w:rsid w:val="00BE2FE4"/>
    <w:rsid w:val="00BE422C"/>
    <w:rsid w:val="00BE5C17"/>
    <w:rsid w:val="00BE60DE"/>
    <w:rsid w:val="00BE6FDB"/>
    <w:rsid w:val="00BF0B17"/>
    <w:rsid w:val="00BF19D8"/>
    <w:rsid w:val="00BF19F9"/>
    <w:rsid w:val="00BF28B9"/>
    <w:rsid w:val="00BF29EA"/>
    <w:rsid w:val="00BF42ED"/>
    <w:rsid w:val="00BF4C1D"/>
    <w:rsid w:val="00BF5069"/>
    <w:rsid w:val="00BF5235"/>
    <w:rsid w:val="00BF5CFD"/>
    <w:rsid w:val="00BF66ED"/>
    <w:rsid w:val="00BF699F"/>
    <w:rsid w:val="00BF6A57"/>
    <w:rsid w:val="00BF7004"/>
    <w:rsid w:val="00C00306"/>
    <w:rsid w:val="00C0257C"/>
    <w:rsid w:val="00C02946"/>
    <w:rsid w:val="00C02B44"/>
    <w:rsid w:val="00C03902"/>
    <w:rsid w:val="00C04872"/>
    <w:rsid w:val="00C04EB2"/>
    <w:rsid w:val="00C054A5"/>
    <w:rsid w:val="00C0621C"/>
    <w:rsid w:val="00C0724E"/>
    <w:rsid w:val="00C13216"/>
    <w:rsid w:val="00C138FF"/>
    <w:rsid w:val="00C13C9B"/>
    <w:rsid w:val="00C14C9C"/>
    <w:rsid w:val="00C15A0F"/>
    <w:rsid w:val="00C15D66"/>
    <w:rsid w:val="00C1624C"/>
    <w:rsid w:val="00C1630D"/>
    <w:rsid w:val="00C16C37"/>
    <w:rsid w:val="00C2156F"/>
    <w:rsid w:val="00C225A8"/>
    <w:rsid w:val="00C22942"/>
    <w:rsid w:val="00C22DFF"/>
    <w:rsid w:val="00C2340B"/>
    <w:rsid w:val="00C239CC"/>
    <w:rsid w:val="00C2419D"/>
    <w:rsid w:val="00C24B66"/>
    <w:rsid w:val="00C25023"/>
    <w:rsid w:val="00C26809"/>
    <w:rsid w:val="00C26886"/>
    <w:rsid w:val="00C26E59"/>
    <w:rsid w:val="00C27F14"/>
    <w:rsid w:val="00C30B2D"/>
    <w:rsid w:val="00C3278E"/>
    <w:rsid w:val="00C362F4"/>
    <w:rsid w:val="00C36918"/>
    <w:rsid w:val="00C401B1"/>
    <w:rsid w:val="00C4365E"/>
    <w:rsid w:val="00C44571"/>
    <w:rsid w:val="00C44643"/>
    <w:rsid w:val="00C526C8"/>
    <w:rsid w:val="00C52BC7"/>
    <w:rsid w:val="00C539DD"/>
    <w:rsid w:val="00C54B67"/>
    <w:rsid w:val="00C55818"/>
    <w:rsid w:val="00C55936"/>
    <w:rsid w:val="00C60AAA"/>
    <w:rsid w:val="00C60BB3"/>
    <w:rsid w:val="00C61C67"/>
    <w:rsid w:val="00C61F3A"/>
    <w:rsid w:val="00C62BD5"/>
    <w:rsid w:val="00C64522"/>
    <w:rsid w:val="00C662F8"/>
    <w:rsid w:val="00C664C3"/>
    <w:rsid w:val="00C72498"/>
    <w:rsid w:val="00C7727A"/>
    <w:rsid w:val="00C80324"/>
    <w:rsid w:val="00C824A1"/>
    <w:rsid w:val="00C83F66"/>
    <w:rsid w:val="00C83FF3"/>
    <w:rsid w:val="00C8529E"/>
    <w:rsid w:val="00C867B8"/>
    <w:rsid w:val="00C86ADA"/>
    <w:rsid w:val="00C86DEC"/>
    <w:rsid w:val="00C87915"/>
    <w:rsid w:val="00C9013E"/>
    <w:rsid w:val="00C901C1"/>
    <w:rsid w:val="00C91601"/>
    <w:rsid w:val="00C91950"/>
    <w:rsid w:val="00C94643"/>
    <w:rsid w:val="00C94CC0"/>
    <w:rsid w:val="00C94CCA"/>
    <w:rsid w:val="00C9551D"/>
    <w:rsid w:val="00C966C2"/>
    <w:rsid w:val="00C97098"/>
    <w:rsid w:val="00C972F2"/>
    <w:rsid w:val="00CA22AB"/>
    <w:rsid w:val="00CA26D9"/>
    <w:rsid w:val="00CA2B1D"/>
    <w:rsid w:val="00CA3D9A"/>
    <w:rsid w:val="00CA3EBD"/>
    <w:rsid w:val="00CA423F"/>
    <w:rsid w:val="00CA6E18"/>
    <w:rsid w:val="00CA6EFA"/>
    <w:rsid w:val="00CB0579"/>
    <w:rsid w:val="00CB1102"/>
    <w:rsid w:val="00CB114A"/>
    <w:rsid w:val="00CB23F0"/>
    <w:rsid w:val="00CB2BFA"/>
    <w:rsid w:val="00CB4114"/>
    <w:rsid w:val="00CB47E6"/>
    <w:rsid w:val="00CB575B"/>
    <w:rsid w:val="00CB7749"/>
    <w:rsid w:val="00CC09A2"/>
    <w:rsid w:val="00CC09FD"/>
    <w:rsid w:val="00CC0E88"/>
    <w:rsid w:val="00CC0F17"/>
    <w:rsid w:val="00CC14CA"/>
    <w:rsid w:val="00CC19F7"/>
    <w:rsid w:val="00CC5B10"/>
    <w:rsid w:val="00CC7D01"/>
    <w:rsid w:val="00CC7D9B"/>
    <w:rsid w:val="00CD09FB"/>
    <w:rsid w:val="00CD0D0F"/>
    <w:rsid w:val="00CD2B68"/>
    <w:rsid w:val="00CD3544"/>
    <w:rsid w:val="00CD46B0"/>
    <w:rsid w:val="00CD4F34"/>
    <w:rsid w:val="00CD5207"/>
    <w:rsid w:val="00CD553F"/>
    <w:rsid w:val="00CD64BA"/>
    <w:rsid w:val="00CD6D78"/>
    <w:rsid w:val="00CD7D13"/>
    <w:rsid w:val="00CE1A62"/>
    <w:rsid w:val="00CE1D87"/>
    <w:rsid w:val="00CE64FA"/>
    <w:rsid w:val="00CE6B57"/>
    <w:rsid w:val="00CE7997"/>
    <w:rsid w:val="00CF1015"/>
    <w:rsid w:val="00CF24A8"/>
    <w:rsid w:val="00CF3E47"/>
    <w:rsid w:val="00CF60D4"/>
    <w:rsid w:val="00CF61D9"/>
    <w:rsid w:val="00CF7881"/>
    <w:rsid w:val="00CF79C3"/>
    <w:rsid w:val="00D02216"/>
    <w:rsid w:val="00D022F2"/>
    <w:rsid w:val="00D024E1"/>
    <w:rsid w:val="00D02BBB"/>
    <w:rsid w:val="00D02CBB"/>
    <w:rsid w:val="00D03ADE"/>
    <w:rsid w:val="00D06EC1"/>
    <w:rsid w:val="00D07007"/>
    <w:rsid w:val="00D11AD8"/>
    <w:rsid w:val="00D12E5D"/>
    <w:rsid w:val="00D12F76"/>
    <w:rsid w:val="00D13731"/>
    <w:rsid w:val="00D14720"/>
    <w:rsid w:val="00D1477A"/>
    <w:rsid w:val="00D14F0A"/>
    <w:rsid w:val="00D16896"/>
    <w:rsid w:val="00D16B65"/>
    <w:rsid w:val="00D17ADD"/>
    <w:rsid w:val="00D20179"/>
    <w:rsid w:val="00D212D0"/>
    <w:rsid w:val="00D21A0A"/>
    <w:rsid w:val="00D22574"/>
    <w:rsid w:val="00D226BC"/>
    <w:rsid w:val="00D22997"/>
    <w:rsid w:val="00D23EF0"/>
    <w:rsid w:val="00D23F5D"/>
    <w:rsid w:val="00D23F89"/>
    <w:rsid w:val="00D24437"/>
    <w:rsid w:val="00D245AD"/>
    <w:rsid w:val="00D26F91"/>
    <w:rsid w:val="00D315C7"/>
    <w:rsid w:val="00D3342F"/>
    <w:rsid w:val="00D33E97"/>
    <w:rsid w:val="00D34882"/>
    <w:rsid w:val="00D35A70"/>
    <w:rsid w:val="00D37F9A"/>
    <w:rsid w:val="00D41375"/>
    <w:rsid w:val="00D4167D"/>
    <w:rsid w:val="00D42986"/>
    <w:rsid w:val="00D43B9C"/>
    <w:rsid w:val="00D44069"/>
    <w:rsid w:val="00D45D6B"/>
    <w:rsid w:val="00D4680B"/>
    <w:rsid w:val="00D46A79"/>
    <w:rsid w:val="00D47228"/>
    <w:rsid w:val="00D47757"/>
    <w:rsid w:val="00D47C51"/>
    <w:rsid w:val="00D50A36"/>
    <w:rsid w:val="00D514B5"/>
    <w:rsid w:val="00D51CD2"/>
    <w:rsid w:val="00D544BC"/>
    <w:rsid w:val="00D54A93"/>
    <w:rsid w:val="00D55524"/>
    <w:rsid w:val="00D55875"/>
    <w:rsid w:val="00D55A2B"/>
    <w:rsid w:val="00D55A68"/>
    <w:rsid w:val="00D56082"/>
    <w:rsid w:val="00D579D5"/>
    <w:rsid w:val="00D57C78"/>
    <w:rsid w:val="00D60312"/>
    <w:rsid w:val="00D61018"/>
    <w:rsid w:val="00D611C2"/>
    <w:rsid w:val="00D61D66"/>
    <w:rsid w:val="00D62166"/>
    <w:rsid w:val="00D63CBA"/>
    <w:rsid w:val="00D65BC4"/>
    <w:rsid w:val="00D65F85"/>
    <w:rsid w:val="00D6612B"/>
    <w:rsid w:val="00D678E6"/>
    <w:rsid w:val="00D72A09"/>
    <w:rsid w:val="00D736DF"/>
    <w:rsid w:val="00D738BF"/>
    <w:rsid w:val="00D77022"/>
    <w:rsid w:val="00D81E6F"/>
    <w:rsid w:val="00D8287D"/>
    <w:rsid w:val="00D83DF7"/>
    <w:rsid w:val="00D86CAE"/>
    <w:rsid w:val="00D86FA2"/>
    <w:rsid w:val="00D87CDB"/>
    <w:rsid w:val="00D90E7F"/>
    <w:rsid w:val="00D91CBE"/>
    <w:rsid w:val="00D9205E"/>
    <w:rsid w:val="00D92B0C"/>
    <w:rsid w:val="00D931BF"/>
    <w:rsid w:val="00D93AB3"/>
    <w:rsid w:val="00D94739"/>
    <w:rsid w:val="00D95914"/>
    <w:rsid w:val="00D969E8"/>
    <w:rsid w:val="00D972A5"/>
    <w:rsid w:val="00D9795D"/>
    <w:rsid w:val="00D97DA2"/>
    <w:rsid w:val="00DA1436"/>
    <w:rsid w:val="00DA2072"/>
    <w:rsid w:val="00DA485E"/>
    <w:rsid w:val="00DA5197"/>
    <w:rsid w:val="00DA551A"/>
    <w:rsid w:val="00DA5AD8"/>
    <w:rsid w:val="00DA5F11"/>
    <w:rsid w:val="00DA62AC"/>
    <w:rsid w:val="00DA74FF"/>
    <w:rsid w:val="00DB1805"/>
    <w:rsid w:val="00DB205D"/>
    <w:rsid w:val="00DB45D3"/>
    <w:rsid w:val="00DB5354"/>
    <w:rsid w:val="00DB55B1"/>
    <w:rsid w:val="00DB6C3A"/>
    <w:rsid w:val="00DB74F5"/>
    <w:rsid w:val="00DC0F6B"/>
    <w:rsid w:val="00DC1392"/>
    <w:rsid w:val="00DC33C3"/>
    <w:rsid w:val="00DC35CF"/>
    <w:rsid w:val="00DC3A74"/>
    <w:rsid w:val="00DC5FB7"/>
    <w:rsid w:val="00DC6A57"/>
    <w:rsid w:val="00DD0DA1"/>
    <w:rsid w:val="00DD3187"/>
    <w:rsid w:val="00DD4177"/>
    <w:rsid w:val="00DD46BF"/>
    <w:rsid w:val="00DD5D18"/>
    <w:rsid w:val="00DE0366"/>
    <w:rsid w:val="00DE0B53"/>
    <w:rsid w:val="00DE0D6F"/>
    <w:rsid w:val="00DE1BF7"/>
    <w:rsid w:val="00DE24FE"/>
    <w:rsid w:val="00DE350D"/>
    <w:rsid w:val="00DE3ABD"/>
    <w:rsid w:val="00DE615E"/>
    <w:rsid w:val="00DE6685"/>
    <w:rsid w:val="00DE6BEC"/>
    <w:rsid w:val="00DE7421"/>
    <w:rsid w:val="00DE761D"/>
    <w:rsid w:val="00DF1E76"/>
    <w:rsid w:val="00DF2505"/>
    <w:rsid w:val="00DF2C53"/>
    <w:rsid w:val="00DF34A1"/>
    <w:rsid w:val="00DF5158"/>
    <w:rsid w:val="00DF5834"/>
    <w:rsid w:val="00DF5CA6"/>
    <w:rsid w:val="00DF6C17"/>
    <w:rsid w:val="00DF7103"/>
    <w:rsid w:val="00DF713C"/>
    <w:rsid w:val="00E007F7"/>
    <w:rsid w:val="00E00A83"/>
    <w:rsid w:val="00E01B47"/>
    <w:rsid w:val="00E02257"/>
    <w:rsid w:val="00E02EA2"/>
    <w:rsid w:val="00E02F9F"/>
    <w:rsid w:val="00E036E3"/>
    <w:rsid w:val="00E043C3"/>
    <w:rsid w:val="00E06F04"/>
    <w:rsid w:val="00E075FD"/>
    <w:rsid w:val="00E10B66"/>
    <w:rsid w:val="00E1207D"/>
    <w:rsid w:val="00E1353D"/>
    <w:rsid w:val="00E13D32"/>
    <w:rsid w:val="00E14015"/>
    <w:rsid w:val="00E1448B"/>
    <w:rsid w:val="00E14A4D"/>
    <w:rsid w:val="00E14EEE"/>
    <w:rsid w:val="00E2061F"/>
    <w:rsid w:val="00E219FA"/>
    <w:rsid w:val="00E23333"/>
    <w:rsid w:val="00E25B58"/>
    <w:rsid w:val="00E26C47"/>
    <w:rsid w:val="00E33869"/>
    <w:rsid w:val="00E33D37"/>
    <w:rsid w:val="00E344E7"/>
    <w:rsid w:val="00E35B37"/>
    <w:rsid w:val="00E3790A"/>
    <w:rsid w:val="00E41919"/>
    <w:rsid w:val="00E42ED6"/>
    <w:rsid w:val="00E43394"/>
    <w:rsid w:val="00E43776"/>
    <w:rsid w:val="00E4394C"/>
    <w:rsid w:val="00E4489F"/>
    <w:rsid w:val="00E448BE"/>
    <w:rsid w:val="00E44DAC"/>
    <w:rsid w:val="00E467C0"/>
    <w:rsid w:val="00E46E32"/>
    <w:rsid w:val="00E47CC5"/>
    <w:rsid w:val="00E52043"/>
    <w:rsid w:val="00E52296"/>
    <w:rsid w:val="00E52648"/>
    <w:rsid w:val="00E528C0"/>
    <w:rsid w:val="00E52A29"/>
    <w:rsid w:val="00E52A4C"/>
    <w:rsid w:val="00E52CF2"/>
    <w:rsid w:val="00E53660"/>
    <w:rsid w:val="00E53B92"/>
    <w:rsid w:val="00E53EA0"/>
    <w:rsid w:val="00E54B07"/>
    <w:rsid w:val="00E564BF"/>
    <w:rsid w:val="00E6003F"/>
    <w:rsid w:val="00E61FB4"/>
    <w:rsid w:val="00E62C64"/>
    <w:rsid w:val="00E62D0E"/>
    <w:rsid w:val="00E651C6"/>
    <w:rsid w:val="00E65540"/>
    <w:rsid w:val="00E666E4"/>
    <w:rsid w:val="00E676BE"/>
    <w:rsid w:val="00E71D59"/>
    <w:rsid w:val="00E73654"/>
    <w:rsid w:val="00E73953"/>
    <w:rsid w:val="00E74237"/>
    <w:rsid w:val="00E7455E"/>
    <w:rsid w:val="00E75C09"/>
    <w:rsid w:val="00E77040"/>
    <w:rsid w:val="00E77BF3"/>
    <w:rsid w:val="00E80F42"/>
    <w:rsid w:val="00E823FF"/>
    <w:rsid w:val="00E82B54"/>
    <w:rsid w:val="00E83157"/>
    <w:rsid w:val="00E847E0"/>
    <w:rsid w:val="00E8504D"/>
    <w:rsid w:val="00E85CF4"/>
    <w:rsid w:val="00E85DC6"/>
    <w:rsid w:val="00E91FD0"/>
    <w:rsid w:val="00E93465"/>
    <w:rsid w:val="00E93806"/>
    <w:rsid w:val="00E93FC7"/>
    <w:rsid w:val="00E967BD"/>
    <w:rsid w:val="00E96843"/>
    <w:rsid w:val="00EA361A"/>
    <w:rsid w:val="00EA3C46"/>
    <w:rsid w:val="00EA69EF"/>
    <w:rsid w:val="00EB04D8"/>
    <w:rsid w:val="00EB1C90"/>
    <w:rsid w:val="00EB2364"/>
    <w:rsid w:val="00EB26DA"/>
    <w:rsid w:val="00EB2C46"/>
    <w:rsid w:val="00EB4D59"/>
    <w:rsid w:val="00EB6908"/>
    <w:rsid w:val="00EB7993"/>
    <w:rsid w:val="00EC0D9B"/>
    <w:rsid w:val="00EC3C07"/>
    <w:rsid w:val="00EC4237"/>
    <w:rsid w:val="00EC43BD"/>
    <w:rsid w:val="00EC4E6B"/>
    <w:rsid w:val="00EC4EE5"/>
    <w:rsid w:val="00EC6E89"/>
    <w:rsid w:val="00ED2C12"/>
    <w:rsid w:val="00ED41A2"/>
    <w:rsid w:val="00ED42F5"/>
    <w:rsid w:val="00ED460F"/>
    <w:rsid w:val="00ED5575"/>
    <w:rsid w:val="00ED6C68"/>
    <w:rsid w:val="00ED7F74"/>
    <w:rsid w:val="00EE1CA0"/>
    <w:rsid w:val="00EE1E47"/>
    <w:rsid w:val="00EE223C"/>
    <w:rsid w:val="00EE29B6"/>
    <w:rsid w:val="00EE338A"/>
    <w:rsid w:val="00EE5838"/>
    <w:rsid w:val="00EE7201"/>
    <w:rsid w:val="00EE7816"/>
    <w:rsid w:val="00EE78AE"/>
    <w:rsid w:val="00EE78B3"/>
    <w:rsid w:val="00EF1E94"/>
    <w:rsid w:val="00EF257C"/>
    <w:rsid w:val="00EF441E"/>
    <w:rsid w:val="00EF4F48"/>
    <w:rsid w:val="00EF588E"/>
    <w:rsid w:val="00EF5E27"/>
    <w:rsid w:val="00F03667"/>
    <w:rsid w:val="00F0549B"/>
    <w:rsid w:val="00F0592C"/>
    <w:rsid w:val="00F104DB"/>
    <w:rsid w:val="00F1090E"/>
    <w:rsid w:val="00F11997"/>
    <w:rsid w:val="00F1469E"/>
    <w:rsid w:val="00F176FE"/>
    <w:rsid w:val="00F20ADA"/>
    <w:rsid w:val="00F20BC9"/>
    <w:rsid w:val="00F232A4"/>
    <w:rsid w:val="00F234E1"/>
    <w:rsid w:val="00F23544"/>
    <w:rsid w:val="00F2361F"/>
    <w:rsid w:val="00F239AB"/>
    <w:rsid w:val="00F24030"/>
    <w:rsid w:val="00F26756"/>
    <w:rsid w:val="00F303E4"/>
    <w:rsid w:val="00F325F3"/>
    <w:rsid w:val="00F3431A"/>
    <w:rsid w:val="00F34FA1"/>
    <w:rsid w:val="00F36C32"/>
    <w:rsid w:val="00F422BA"/>
    <w:rsid w:val="00F426C7"/>
    <w:rsid w:val="00F46897"/>
    <w:rsid w:val="00F47CA2"/>
    <w:rsid w:val="00F50D7D"/>
    <w:rsid w:val="00F539C5"/>
    <w:rsid w:val="00F55144"/>
    <w:rsid w:val="00F55AAE"/>
    <w:rsid w:val="00F55E3D"/>
    <w:rsid w:val="00F56EC5"/>
    <w:rsid w:val="00F57C8C"/>
    <w:rsid w:val="00F6122E"/>
    <w:rsid w:val="00F6161E"/>
    <w:rsid w:val="00F61963"/>
    <w:rsid w:val="00F644FE"/>
    <w:rsid w:val="00F64B2C"/>
    <w:rsid w:val="00F64EEF"/>
    <w:rsid w:val="00F65510"/>
    <w:rsid w:val="00F66733"/>
    <w:rsid w:val="00F669F9"/>
    <w:rsid w:val="00F70D79"/>
    <w:rsid w:val="00F71E49"/>
    <w:rsid w:val="00F73FAC"/>
    <w:rsid w:val="00F7489E"/>
    <w:rsid w:val="00F7564C"/>
    <w:rsid w:val="00F763F5"/>
    <w:rsid w:val="00F76563"/>
    <w:rsid w:val="00F76A3A"/>
    <w:rsid w:val="00F81CC8"/>
    <w:rsid w:val="00F82119"/>
    <w:rsid w:val="00F822E7"/>
    <w:rsid w:val="00F8299B"/>
    <w:rsid w:val="00F84758"/>
    <w:rsid w:val="00F866AC"/>
    <w:rsid w:val="00F87D40"/>
    <w:rsid w:val="00F90A9C"/>
    <w:rsid w:val="00F91DB2"/>
    <w:rsid w:val="00F94FC9"/>
    <w:rsid w:val="00F9526F"/>
    <w:rsid w:val="00F96E0D"/>
    <w:rsid w:val="00F970A2"/>
    <w:rsid w:val="00F97E76"/>
    <w:rsid w:val="00FA0602"/>
    <w:rsid w:val="00FA22B6"/>
    <w:rsid w:val="00FA2661"/>
    <w:rsid w:val="00FA3DD7"/>
    <w:rsid w:val="00FA3EBC"/>
    <w:rsid w:val="00FA4559"/>
    <w:rsid w:val="00FA4906"/>
    <w:rsid w:val="00FA58CD"/>
    <w:rsid w:val="00FA6981"/>
    <w:rsid w:val="00FA6BBA"/>
    <w:rsid w:val="00FA6E40"/>
    <w:rsid w:val="00FA6E51"/>
    <w:rsid w:val="00FA6FBA"/>
    <w:rsid w:val="00FA756C"/>
    <w:rsid w:val="00FA7C92"/>
    <w:rsid w:val="00FB1094"/>
    <w:rsid w:val="00FB3462"/>
    <w:rsid w:val="00FB3C60"/>
    <w:rsid w:val="00FB4745"/>
    <w:rsid w:val="00FB4B19"/>
    <w:rsid w:val="00FB5CE6"/>
    <w:rsid w:val="00FB6AB6"/>
    <w:rsid w:val="00FC0D1D"/>
    <w:rsid w:val="00FC0FFA"/>
    <w:rsid w:val="00FC24C7"/>
    <w:rsid w:val="00FC2C75"/>
    <w:rsid w:val="00FC3075"/>
    <w:rsid w:val="00FC5460"/>
    <w:rsid w:val="00FC5B8D"/>
    <w:rsid w:val="00FC5F1A"/>
    <w:rsid w:val="00FC73DC"/>
    <w:rsid w:val="00FD1391"/>
    <w:rsid w:val="00FD1875"/>
    <w:rsid w:val="00FD2024"/>
    <w:rsid w:val="00FD23A6"/>
    <w:rsid w:val="00FD3642"/>
    <w:rsid w:val="00FD624A"/>
    <w:rsid w:val="00FE02F4"/>
    <w:rsid w:val="00FE0A07"/>
    <w:rsid w:val="00FE0BA4"/>
    <w:rsid w:val="00FE1F51"/>
    <w:rsid w:val="00FE2CC7"/>
    <w:rsid w:val="00FE5266"/>
    <w:rsid w:val="00FE5F0F"/>
    <w:rsid w:val="00FE7757"/>
    <w:rsid w:val="00FE7C09"/>
    <w:rsid w:val="00FF04C4"/>
    <w:rsid w:val="00FF0844"/>
    <w:rsid w:val="00FF0E4E"/>
    <w:rsid w:val="00FF1085"/>
    <w:rsid w:val="00FF46F9"/>
    <w:rsid w:val="00FF4A80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F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7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EE1E47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EE1E47"/>
  </w:style>
  <w:style w:type="paragraph" w:styleId="Encabezado">
    <w:name w:val="header"/>
    <w:basedOn w:val="Normal"/>
    <w:link w:val="EncabezadoCar"/>
    <w:rsid w:val="00A57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7616"/>
    <w:rPr>
      <w:lang w:val="es-DO"/>
    </w:rPr>
  </w:style>
  <w:style w:type="paragraph" w:styleId="Prrafodelista">
    <w:name w:val="List Paragraph"/>
    <w:basedOn w:val="Normal"/>
    <w:uiPriority w:val="34"/>
    <w:qFormat/>
    <w:rsid w:val="005025E2"/>
    <w:pPr>
      <w:ind w:left="708"/>
    </w:pPr>
  </w:style>
  <w:style w:type="paragraph" w:styleId="Textodeglobo">
    <w:name w:val="Balloon Text"/>
    <w:basedOn w:val="Normal"/>
    <w:link w:val="TextodegloboCar"/>
    <w:rsid w:val="00E676B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676BE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17910"/>
    <w:rPr>
      <w:rFonts w:ascii="Calibri" w:hAnsi="Calibri"/>
      <w:sz w:val="22"/>
      <w:szCs w:val="22"/>
    </w:rPr>
  </w:style>
  <w:style w:type="paragraph" w:styleId="Ttulo">
    <w:name w:val="Title"/>
    <w:basedOn w:val="Normal"/>
    <w:link w:val="TtuloCar"/>
    <w:qFormat/>
    <w:rsid w:val="00BE6FDB"/>
    <w:pPr>
      <w:jc w:val="center"/>
    </w:pPr>
    <w:rPr>
      <w:sz w:val="32"/>
      <w:lang w:val="es-MX"/>
    </w:rPr>
  </w:style>
  <w:style w:type="character" w:customStyle="1" w:styleId="TtuloCar">
    <w:name w:val="Título Car"/>
    <w:basedOn w:val="Fuentedeprrafopredeter"/>
    <w:link w:val="Ttulo"/>
    <w:rsid w:val="00BE6FDB"/>
    <w:rPr>
      <w:sz w:val="32"/>
      <w:lang w:val="es-MX"/>
    </w:rPr>
  </w:style>
  <w:style w:type="paragraph" w:styleId="Subttulo">
    <w:name w:val="Subtitle"/>
    <w:basedOn w:val="Normal"/>
    <w:link w:val="SubttuloCar"/>
    <w:qFormat/>
    <w:rsid w:val="00BE6FDB"/>
    <w:pPr>
      <w:jc w:val="center"/>
    </w:pPr>
    <w:rPr>
      <w:sz w:val="32"/>
      <w:lang w:val="es-MX"/>
    </w:rPr>
  </w:style>
  <w:style w:type="character" w:customStyle="1" w:styleId="SubttuloCar">
    <w:name w:val="Subtítulo Car"/>
    <w:basedOn w:val="Fuentedeprrafopredeter"/>
    <w:link w:val="Subttulo"/>
    <w:rsid w:val="00BE6FDB"/>
    <w:rPr>
      <w:sz w:val="32"/>
      <w:lang w:val="es-MX"/>
    </w:rPr>
  </w:style>
  <w:style w:type="paragraph" w:styleId="Mapadeldocumento">
    <w:name w:val="Document Map"/>
    <w:basedOn w:val="Normal"/>
    <w:link w:val="MapadeldocumentoCar"/>
    <w:rsid w:val="005C4FD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C4FD0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3052-36A9-459C-8721-F27F4EB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23</Pages>
  <Words>5285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LAS ACTIVIDADES MÁS RELEVANTES DE LA INSTITUCION DURANTE EL PERIODO ENERO-JUNIO, 2008</vt:lpstr>
    </vt:vector>
  </TitlesOfParts>
  <Company>super</Company>
  <LinksUpToDate>false</LinksUpToDate>
  <CharactersWithSpaces>34287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LAS ACTIVIDADES MÁS RELEVANTES DE LA INSTITUCION DURANTE EL PERIODO ENERO-JUNIO, 2008</dc:title>
  <dc:creator>lthomas</dc:creator>
  <cp:lastModifiedBy>labad</cp:lastModifiedBy>
  <cp:revision>84</cp:revision>
  <cp:lastPrinted>2016-12-06T17:49:00Z</cp:lastPrinted>
  <dcterms:created xsi:type="dcterms:W3CDTF">2017-11-13T12:08:00Z</dcterms:created>
  <dcterms:modified xsi:type="dcterms:W3CDTF">2017-11-21T13:03:00Z</dcterms:modified>
</cp:coreProperties>
</file>